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E" w:rsidRPr="00507002" w:rsidRDefault="00AC5ECE" w:rsidP="00507002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</w:p>
    <w:p w:rsidR="00AC5ECE" w:rsidRPr="000C0F88" w:rsidRDefault="00AC5ECE" w:rsidP="00B07903">
      <w:pPr>
        <w:jc w:val="center"/>
        <w:rPr>
          <w:b/>
          <w:sz w:val="28"/>
          <w:szCs w:val="28"/>
        </w:rPr>
      </w:pPr>
      <w:r w:rsidRPr="000C0F88">
        <w:rPr>
          <w:b/>
          <w:sz w:val="28"/>
          <w:szCs w:val="28"/>
        </w:rPr>
        <w:t>МІНІСТЕРСТВО ОСВІТИ І НАУКИ УКРАЇНИ</w:t>
      </w:r>
    </w:p>
    <w:p w:rsidR="00AC5ECE" w:rsidRPr="000C0F88" w:rsidRDefault="00AC5ECE" w:rsidP="00B07903">
      <w:pPr>
        <w:jc w:val="center"/>
        <w:rPr>
          <w:b/>
          <w:sz w:val="28"/>
          <w:szCs w:val="28"/>
        </w:rPr>
      </w:pPr>
      <w:r w:rsidRPr="000C0F88">
        <w:rPr>
          <w:b/>
          <w:sz w:val="28"/>
          <w:szCs w:val="28"/>
        </w:rPr>
        <w:t>НАЦІОНАЛЬНИЙ ТЕХНІЧНИЙ УНІВЕРСИТЕТ УКРАЇНИ</w:t>
      </w:r>
    </w:p>
    <w:p w:rsidR="00AC5ECE" w:rsidRPr="000C0F88" w:rsidRDefault="00AC5ECE" w:rsidP="00B07903">
      <w:pPr>
        <w:jc w:val="center"/>
        <w:rPr>
          <w:b/>
          <w:sz w:val="28"/>
          <w:szCs w:val="28"/>
        </w:rPr>
      </w:pPr>
      <w:r w:rsidRPr="000C0F88">
        <w:rPr>
          <w:b/>
          <w:sz w:val="28"/>
          <w:szCs w:val="28"/>
        </w:rPr>
        <w:t>«КИЇВСЬКИЙ ПОЛІТЕХНІЧНИЙ ІНСТИТУТ</w:t>
      </w:r>
    </w:p>
    <w:p w:rsidR="00AC5ECE" w:rsidRPr="00B568B7" w:rsidRDefault="00AC5ECE" w:rsidP="00B07903">
      <w:pPr>
        <w:jc w:val="center"/>
        <w:rPr>
          <w:b/>
          <w:sz w:val="28"/>
          <w:szCs w:val="28"/>
        </w:rPr>
      </w:pPr>
      <w:r w:rsidRPr="000C0F88">
        <w:rPr>
          <w:b/>
          <w:sz w:val="28"/>
          <w:szCs w:val="28"/>
        </w:rPr>
        <w:t>Імені Ігоря Сікорського»</w:t>
      </w:r>
    </w:p>
    <w:p w:rsidR="00AC5ECE" w:rsidRPr="00B568B7" w:rsidRDefault="00AC5ECE" w:rsidP="00B07903">
      <w:pPr>
        <w:rPr>
          <w:b/>
          <w:sz w:val="28"/>
          <w:szCs w:val="28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</w:p>
    <w:p w:rsidR="00AC5ECE" w:rsidRPr="00B568B7" w:rsidRDefault="00AC5ECE" w:rsidP="004F76F9">
      <w:pPr>
        <w:ind w:left="3828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ЗАТВЕРДЖЕНО</w:t>
      </w:r>
    </w:p>
    <w:p w:rsidR="00AC5ECE" w:rsidRPr="00B568B7" w:rsidRDefault="00AC5ECE" w:rsidP="004F76F9">
      <w:pPr>
        <w:ind w:left="3828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Вченою радою КПІ ім. ІгоряСікорського</w:t>
      </w:r>
    </w:p>
    <w:p w:rsidR="00AC5ECE" w:rsidRPr="00B568B7" w:rsidRDefault="00AC5ECE" w:rsidP="004F76F9">
      <w:pPr>
        <w:ind w:left="3828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(протокол № ___ від «___» ______ 2021 р.)</w:t>
      </w:r>
    </w:p>
    <w:p w:rsidR="00AC5ECE" w:rsidRPr="00B568B7" w:rsidRDefault="00AC5ECE" w:rsidP="004F76F9">
      <w:pPr>
        <w:ind w:left="3828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 xml:space="preserve">Голова Вченої ради </w:t>
      </w:r>
    </w:p>
    <w:p w:rsidR="00AC5ECE" w:rsidRPr="00B568B7" w:rsidRDefault="00AC5ECE" w:rsidP="00B07903">
      <w:pPr>
        <w:ind w:left="4107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_____________ Михайло ІЛЬЧЕНКО</w:t>
      </w:r>
    </w:p>
    <w:p w:rsidR="00AC5ECE" w:rsidRPr="00B568B7" w:rsidRDefault="00AC5ECE" w:rsidP="00B07903">
      <w:pPr>
        <w:rPr>
          <w:b/>
          <w:sz w:val="28"/>
          <w:szCs w:val="28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</w:p>
    <w:p w:rsidR="00AC5ECE" w:rsidRPr="00B568B7" w:rsidRDefault="00AC5ECE" w:rsidP="00B07903">
      <w:pPr>
        <w:jc w:val="center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«БІОБЕЗПЕКА ТА БІОЗАХИСТ»</w:t>
      </w:r>
    </w:p>
    <w:p w:rsidR="00AC5ECE" w:rsidRPr="00B568B7" w:rsidRDefault="00AC5ECE" w:rsidP="00B07903">
      <w:pPr>
        <w:spacing w:after="240"/>
        <w:jc w:val="center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“Biosafety and biosecurity»</w:t>
      </w:r>
    </w:p>
    <w:p w:rsidR="00AC5ECE" w:rsidRPr="00B568B7" w:rsidRDefault="00AC5ECE" w:rsidP="00B07903">
      <w:pPr>
        <w:spacing w:after="240"/>
        <w:jc w:val="center"/>
        <w:rPr>
          <w:b/>
          <w:sz w:val="28"/>
          <w:szCs w:val="28"/>
        </w:rPr>
      </w:pPr>
    </w:p>
    <w:p w:rsidR="00AC5ECE" w:rsidRPr="00B568B7" w:rsidRDefault="00AC5ECE" w:rsidP="00B07903">
      <w:pPr>
        <w:spacing w:after="240"/>
        <w:jc w:val="center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ОСВІТНЬО-ПРОФЕСІЙНА ПРОГРАМА</w:t>
      </w:r>
    </w:p>
    <w:p w:rsidR="00AC5ECE" w:rsidRPr="00B568B7" w:rsidRDefault="00AC5ECE" w:rsidP="00B07903">
      <w:pPr>
        <w:spacing w:after="240"/>
        <w:jc w:val="center"/>
        <w:rPr>
          <w:b/>
          <w:sz w:val="28"/>
          <w:szCs w:val="28"/>
        </w:rPr>
      </w:pPr>
    </w:p>
    <w:p w:rsidR="00AC5ECE" w:rsidRPr="00B568B7" w:rsidRDefault="00AC5ECE" w:rsidP="00B07903">
      <w:pPr>
        <w:spacing w:after="240"/>
        <w:jc w:val="center"/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Другий (магістерський) рівень вищої освіти</w:t>
      </w:r>
    </w:p>
    <w:tbl>
      <w:tblPr>
        <w:tblW w:w="5167" w:type="pct"/>
        <w:tblLook w:val="00A0"/>
      </w:tblPr>
      <w:tblGrid>
        <w:gridCol w:w="3982"/>
        <w:gridCol w:w="5909"/>
      </w:tblGrid>
      <w:tr w:rsidR="00AC5ECE" w:rsidRPr="00B568B7" w:rsidTr="00FD069C">
        <w:tc>
          <w:tcPr>
            <w:tcW w:w="2013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за спеціальністю</w:t>
            </w:r>
          </w:p>
        </w:tc>
        <w:tc>
          <w:tcPr>
            <w:tcW w:w="2987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163 Біомедична інженерія</w:t>
            </w:r>
          </w:p>
        </w:tc>
      </w:tr>
      <w:tr w:rsidR="00AC5ECE" w:rsidRPr="00B568B7" w:rsidTr="00FD069C">
        <w:tc>
          <w:tcPr>
            <w:tcW w:w="2013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галузі знань</w:t>
            </w:r>
          </w:p>
        </w:tc>
        <w:tc>
          <w:tcPr>
            <w:tcW w:w="2987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16 Хімічна та біоінженерія</w:t>
            </w:r>
          </w:p>
        </w:tc>
      </w:tr>
      <w:tr w:rsidR="00AC5ECE" w:rsidRPr="00B568B7" w:rsidTr="00FD069C">
        <w:tc>
          <w:tcPr>
            <w:tcW w:w="2013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освітня кваліфікація</w:t>
            </w:r>
          </w:p>
        </w:tc>
        <w:tc>
          <w:tcPr>
            <w:tcW w:w="2987" w:type="pct"/>
          </w:tcPr>
          <w:p w:rsidR="00AC5ECE" w:rsidRPr="00B568B7" w:rsidRDefault="00AC5ECE" w:rsidP="00FD069C">
            <w:pPr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 xml:space="preserve">Магістр з біомедичної інженерії  </w:t>
            </w:r>
          </w:p>
        </w:tc>
      </w:tr>
    </w:tbl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spacing w:before="120"/>
        <w:ind w:left="6096"/>
        <w:rPr>
          <w:sz w:val="28"/>
          <w:szCs w:val="28"/>
        </w:rPr>
      </w:pPr>
      <w:r w:rsidRPr="00B568B7">
        <w:rPr>
          <w:sz w:val="28"/>
          <w:szCs w:val="28"/>
        </w:rPr>
        <w:t xml:space="preserve">Введено в дію Наказом ректора </w:t>
      </w:r>
      <w:r w:rsidRPr="00B568B7">
        <w:rPr>
          <w:sz w:val="28"/>
          <w:szCs w:val="28"/>
        </w:rPr>
        <w:br/>
        <w:t xml:space="preserve">КПІ ім. Ігоря Сікорського </w:t>
      </w:r>
      <w:r w:rsidRPr="00B568B7">
        <w:rPr>
          <w:sz w:val="28"/>
          <w:szCs w:val="28"/>
        </w:rPr>
        <w:br/>
        <w:t>від ____________ № _______</w:t>
      </w: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</w:p>
    <w:p w:rsidR="00AC5ECE" w:rsidRPr="00B568B7" w:rsidRDefault="00AC5ECE" w:rsidP="00B07903">
      <w:pPr>
        <w:jc w:val="center"/>
        <w:rPr>
          <w:sz w:val="28"/>
          <w:szCs w:val="28"/>
        </w:rPr>
      </w:pPr>
      <w:r w:rsidRPr="00B568B7">
        <w:rPr>
          <w:sz w:val="28"/>
          <w:szCs w:val="28"/>
        </w:rPr>
        <w:t>Київ – 2021</w:t>
      </w:r>
    </w:p>
    <w:p w:rsidR="00AC5ECE" w:rsidRPr="00B568B7" w:rsidRDefault="00AC5ECE" w:rsidP="00B07903">
      <w:pPr>
        <w:rPr>
          <w:b/>
          <w:bCs/>
          <w:sz w:val="28"/>
          <w:szCs w:val="28"/>
        </w:rPr>
      </w:pPr>
      <w:r w:rsidRPr="00B568B7">
        <w:rPr>
          <w:b/>
          <w:sz w:val="28"/>
          <w:szCs w:val="28"/>
        </w:rPr>
        <w:br w:type="page"/>
      </w:r>
      <w:r w:rsidRPr="00B568B7">
        <w:rPr>
          <w:b/>
          <w:bCs/>
          <w:sz w:val="28"/>
          <w:szCs w:val="28"/>
        </w:rPr>
        <w:t>Розроблено проєктною групою:</w:t>
      </w:r>
    </w:p>
    <w:p w:rsidR="00AC5ECE" w:rsidRPr="00B568B7" w:rsidRDefault="00AC5ECE" w:rsidP="00B07903">
      <w:pPr>
        <w:tabs>
          <w:tab w:val="left" w:leader="underscore" w:pos="9781"/>
        </w:tabs>
        <w:rPr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781"/>
        </w:tabs>
        <w:rPr>
          <w:sz w:val="28"/>
          <w:szCs w:val="28"/>
        </w:rPr>
      </w:pPr>
      <w:r w:rsidRPr="00B568B7">
        <w:rPr>
          <w:sz w:val="28"/>
          <w:szCs w:val="28"/>
        </w:rPr>
        <w:t>Голова проєктної групи: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i/>
          <w:iCs/>
          <w:sz w:val="28"/>
          <w:szCs w:val="28"/>
        </w:rPr>
        <w:t>Ігор ХУДЕЦЬКИЙ</w:t>
      </w:r>
      <w:r w:rsidRPr="00B568B7">
        <w:rPr>
          <w:bCs/>
          <w:sz w:val="28"/>
          <w:szCs w:val="28"/>
        </w:rPr>
        <w:t>, доктор медичних наук, професор, завідувач кафедри біобезпекиі здоров’я людини КПІ ім. Ігоря Сікорського.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sz w:val="28"/>
          <w:szCs w:val="28"/>
        </w:rPr>
        <w:t>Члени проєктної групи: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i/>
          <w:iCs/>
          <w:sz w:val="28"/>
          <w:szCs w:val="28"/>
        </w:rPr>
        <w:t xml:space="preserve">Юлія АНТОНОВА-РАФІ, </w:t>
      </w:r>
      <w:r w:rsidRPr="00B568B7">
        <w:rPr>
          <w:bCs/>
          <w:sz w:val="28"/>
          <w:szCs w:val="28"/>
        </w:rPr>
        <w:t>кандидат технічних наук, доцент, доцент кафедри біобезпеки і здоров’я людиниКПІ ім. Ігоря Сікорського;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i/>
          <w:iCs/>
          <w:sz w:val="28"/>
          <w:szCs w:val="28"/>
        </w:rPr>
        <w:t>Олена БЕСПАЛОВА</w:t>
      </w:r>
      <w:r w:rsidRPr="00B568B7">
        <w:rPr>
          <w:bCs/>
          <w:sz w:val="28"/>
          <w:szCs w:val="28"/>
        </w:rPr>
        <w:t>, кандидат біологічних наук, старший науковий співробітник, доцент кафедри трансляційної медичної біоінженерії</w:t>
      </w:r>
      <w:bookmarkStart w:id="0" w:name="_Hlk78317664"/>
      <w:r w:rsidRPr="00B568B7">
        <w:rPr>
          <w:bCs/>
          <w:sz w:val="28"/>
          <w:szCs w:val="28"/>
        </w:rPr>
        <w:t>КПІім.Ігоря Сікорського;</w:t>
      </w:r>
    </w:p>
    <w:bookmarkEnd w:id="0"/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i/>
          <w:iCs/>
          <w:sz w:val="28"/>
          <w:szCs w:val="28"/>
        </w:rPr>
        <w:t>Тетяна ЛУЦЕНКО</w:t>
      </w:r>
      <w:r w:rsidRPr="00B568B7">
        <w:rPr>
          <w:bCs/>
          <w:sz w:val="28"/>
          <w:szCs w:val="28"/>
        </w:rPr>
        <w:t>, кандидат технічних наук, старший викладач кафедри трансляційної медичної біоінженерії КПІім.Ігоря Сікорського;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i/>
          <w:iCs/>
          <w:sz w:val="28"/>
          <w:szCs w:val="28"/>
        </w:rPr>
        <w:t>Олександр БЕСАРАБ</w:t>
      </w:r>
      <w:r w:rsidRPr="00B568B7">
        <w:rPr>
          <w:bCs/>
          <w:sz w:val="28"/>
          <w:szCs w:val="28"/>
        </w:rPr>
        <w:t>, кандидат технічних наук, старший викладач кафедри трансляційної медичної біоінженерії КПІім.Ігоря Сікорського;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i/>
          <w:iCs/>
          <w:sz w:val="28"/>
          <w:szCs w:val="28"/>
        </w:rPr>
        <w:t>Юлія КОПОЧИНСЬКА,</w:t>
      </w:r>
      <w:r w:rsidRPr="00B568B7">
        <w:rPr>
          <w:sz w:val="28"/>
          <w:szCs w:val="28"/>
        </w:rPr>
        <w:t xml:space="preserve"> кандидат наук з фізичного виховання і спорту, доцент, доцент кафедри біобезпеки і здоров’я людини КПІ ім. Ігоря Сікорського;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sz w:val="28"/>
          <w:szCs w:val="28"/>
        </w:rPr>
        <w:t>Оксана ГЛИНЯНА, кандидат наук з фізичного виховання і спорту, доцент, доцент кафедри біобезпеки і здоров’я людиниКПІ ім. Ігоря Сікорського;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sz w:val="28"/>
          <w:szCs w:val="28"/>
        </w:rPr>
        <w:t>Катерина ЩУСЬКА, кандидат технічних наук, доцент, доценткафедри екобіотехнології та біоенергетики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  <w:r w:rsidRPr="00B568B7">
        <w:rPr>
          <w:bCs/>
          <w:sz w:val="28"/>
          <w:szCs w:val="28"/>
        </w:rPr>
        <w:t xml:space="preserve">Ганна МЕЛЬНИК, </w:t>
      </w:r>
      <w:r w:rsidRPr="00DA61AF">
        <w:rPr>
          <w:bCs/>
          <w:sz w:val="28"/>
          <w:szCs w:val="28"/>
        </w:rPr>
        <w:t>асистент, аспірант</w:t>
      </w:r>
      <w:r w:rsidRPr="00B568B7">
        <w:rPr>
          <w:bCs/>
          <w:sz w:val="28"/>
          <w:szCs w:val="28"/>
        </w:rPr>
        <w:t xml:space="preserve"> кафедри біобезпеки і здоров’я людини КПІ ім. Ігоря Сікорського.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498"/>
        </w:tabs>
        <w:spacing w:line="276" w:lineRule="auto"/>
        <w:rPr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498"/>
        </w:tabs>
        <w:spacing w:line="276" w:lineRule="auto"/>
        <w:rPr>
          <w:b/>
          <w:bCs/>
          <w:sz w:val="28"/>
          <w:szCs w:val="28"/>
        </w:rPr>
      </w:pPr>
      <w:r w:rsidRPr="00B568B7">
        <w:rPr>
          <w:b/>
          <w:bCs/>
          <w:sz w:val="28"/>
          <w:szCs w:val="28"/>
        </w:rPr>
        <w:t>Погоджено: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sz w:val="28"/>
          <w:szCs w:val="28"/>
        </w:rPr>
      </w:pPr>
      <w:r w:rsidRPr="00B568B7">
        <w:rPr>
          <w:sz w:val="28"/>
          <w:szCs w:val="28"/>
        </w:rPr>
        <w:t>Студентською радою факультету біомедичної інженерії КПІ ім. Ігоря Сікорського (протокол від ________ 2021 р.)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sz w:val="28"/>
          <w:szCs w:val="28"/>
        </w:rPr>
      </w:pPr>
      <w:r w:rsidRPr="00B568B7">
        <w:rPr>
          <w:sz w:val="28"/>
          <w:szCs w:val="28"/>
        </w:rPr>
        <w:t>Науково-методична комісія КПІ ім. Ігоря Сікорського (НМК) із спеціальності 163 Біомедична інженерія (протокол № ___ від «___» ______ 2021 р.)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498"/>
        </w:tabs>
        <w:spacing w:line="276" w:lineRule="auto"/>
        <w:rPr>
          <w:bCs/>
          <w:i/>
          <w:sz w:val="28"/>
          <w:szCs w:val="28"/>
        </w:rPr>
      </w:pPr>
      <w:r w:rsidRPr="00B568B7">
        <w:rPr>
          <w:sz w:val="28"/>
          <w:szCs w:val="28"/>
        </w:rPr>
        <w:t xml:space="preserve">Голова НМКУ 163                   _____________ </w:t>
      </w:r>
      <w:r w:rsidRPr="00B568B7">
        <w:rPr>
          <w:bCs/>
          <w:i/>
          <w:iCs/>
          <w:sz w:val="28"/>
          <w:szCs w:val="28"/>
        </w:rPr>
        <w:t>Віталій МАКСИМЕНКО</w:t>
      </w:r>
    </w:p>
    <w:p w:rsidR="00AC5ECE" w:rsidRPr="00B568B7" w:rsidRDefault="00AC5ECE" w:rsidP="00B07903">
      <w:pPr>
        <w:tabs>
          <w:tab w:val="left" w:leader="underscore" w:pos="9498"/>
        </w:tabs>
        <w:spacing w:line="276" w:lineRule="auto"/>
        <w:rPr>
          <w:b/>
          <w:bCs/>
          <w:i/>
          <w:sz w:val="28"/>
          <w:szCs w:val="28"/>
        </w:rPr>
      </w:pPr>
    </w:p>
    <w:p w:rsidR="00AC5ECE" w:rsidRPr="004C62A4" w:rsidRDefault="00AC5ECE" w:rsidP="004F76F9">
      <w:pPr>
        <w:spacing w:after="240"/>
        <w:jc w:val="center"/>
        <w:rPr>
          <w:sz w:val="28"/>
          <w:szCs w:val="28"/>
        </w:rPr>
      </w:pPr>
      <w:r w:rsidRPr="00637D93">
        <w:rPr>
          <w:sz w:val="28"/>
          <w:szCs w:val="28"/>
        </w:rPr>
        <w:t>Освітньо-професійна програма розроблена в рамках гранту Національного фонду досліджень України 2020.01/0464 «Розробка концепції підготовки фахівців та підвищення кваліфікації з біобезпеки та біозахисту»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rPr>
          <w:bCs/>
          <w:iCs/>
          <w:sz w:val="28"/>
          <w:szCs w:val="28"/>
        </w:rPr>
      </w:pPr>
      <w:r w:rsidRPr="00B568B7">
        <w:rPr>
          <w:b/>
          <w:iCs/>
          <w:sz w:val="28"/>
          <w:szCs w:val="28"/>
        </w:rPr>
        <w:br w:type="page"/>
        <w:t>Проведено фахову експертизу зацікавленими особами (стейкхолдерами)</w:t>
      </w:r>
      <w:r w:rsidRPr="00B568B7">
        <w:rPr>
          <w:bCs/>
          <w:iCs/>
          <w:sz w:val="28"/>
          <w:szCs w:val="28"/>
        </w:rPr>
        <w:t>:</w:t>
      </w:r>
    </w:p>
    <w:p w:rsidR="00AC5ECE" w:rsidRPr="00DA61AF" w:rsidRDefault="00AC5ECE" w:rsidP="006A6FEE">
      <w:pPr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DA61AF">
        <w:rPr>
          <w:bCs/>
          <w:i/>
          <w:sz w:val="28"/>
          <w:szCs w:val="28"/>
        </w:rPr>
        <w:t>Сергій ГУЛИЙ</w:t>
      </w:r>
      <w:r w:rsidRPr="00DA61AF">
        <w:rPr>
          <w:bCs/>
          <w:iCs/>
          <w:sz w:val="28"/>
          <w:szCs w:val="28"/>
        </w:rPr>
        <w:t xml:space="preserve">, </w:t>
      </w:r>
      <w:r w:rsidRPr="00DA61AF">
        <w:rPr>
          <w:bCs/>
          <w:sz w:val="28"/>
          <w:szCs w:val="28"/>
        </w:rPr>
        <w:t>кандидат технічних наук, генеральний директор ТОВ «НУТРІМЕД», м. Київ;</w:t>
      </w:r>
    </w:p>
    <w:p w:rsidR="00AC5ECE" w:rsidRPr="00DA61AF" w:rsidRDefault="00AC5ECE" w:rsidP="006A6FEE">
      <w:pPr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DA61AF">
        <w:rPr>
          <w:bCs/>
          <w:i/>
          <w:sz w:val="28"/>
          <w:szCs w:val="28"/>
        </w:rPr>
        <w:t>Надія ГОРЧАКОВА</w:t>
      </w:r>
      <w:r w:rsidRPr="00DA61AF">
        <w:rPr>
          <w:bCs/>
          <w:iCs/>
          <w:sz w:val="28"/>
          <w:szCs w:val="28"/>
        </w:rPr>
        <w:t>, доктор медичних наук, професор, професор кафедри фармакології Національного медичного університету ім. О.О. Богомольця МОЗ України, член науково-експертної ради Державного експертного центру МОЗ України;</w:t>
      </w:r>
    </w:p>
    <w:p w:rsidR="00AC5ECE" w:rsidRPr="00DA61AF" w:rsidRDefault="00AC5ECE" w:rsidP="006A6FEE">
      <w:pPr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DA61AF">
        <w:rPr>
          <w:bCs/>
          <w:i/>
          <w:sz w:val="28"/>
          <w:szCs w:val="28"/>
        </w:rPr>
        <w:t xml:space="preserve">Олена КЛЮЧКО, </w:t>
      </w:r>
      <w:r w:rsidRPr="00DA61AF">
        <w:rPr>
          <w:bCs/>
          <w:sz w:val="28"/>
          <w:szCs w:val="28"/>
        </w:rPr>
        <w:t>кандидат</w:t>
      </w:r>
      <w:r w:rsidRPr="00DA61AF">
        <w:rPr>
          <w:bCs/>
          <w:iCs/>
          <w:sz w:val="28"/>
          <w:szCs w:val="28"/>
        </w:rPr>
        <w:t xml:space="preserve"> біологічних наук, доцент, доцент кафедри електроніки, робототехніки і технологій моніторингу та інтернету речей Національного авіаційного університету</w:t>
      </w:r>
      <w:r w:rsidRPr="00DA61AF">
        <w:rPr>
          <w:bCs/>
          <w:sz w:val="28"/>
          <w:szCs w:val="28"/>
        </w:rPr>
        <w:t>, м. Київ.</w:t>
      </w:r>
    </w:p>
    <w:p w:rsidR="00AC5ECE" w:rsidRPr="00B568B7" w:rsidRDefault="00AC5ECE" w:rsidP="00B07903">
      <w:pPr>
        <w:spacing w:line="276" w:lineRule="auto"/>
        <w:ind w:left="720"/>
        <w:rPr>
          <w:bCs/>
          <w:iCs/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568B7">
        <w:rPr>
          <w:bCs/>
          <w:iCs/>
          <w:sz w:val="28"/>
          <w:szCs w:val="28"/>
        </w:rPr>
        <w:t>За результатами моніторингу освітньої програми, врахувавши пропозиції стейкхордерів (науково-педагогічних працівників, здобувачів вищої освіти, роботодавців), було розроблено оновлену версію освітньої програми.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568B7">
        <w:rPr>
          <w:bCs/>
          <w:iCs/>
          <w:sz w:val="28"/>
          <w:szCs w:val="28"/>
        </w:rPr>
        <w:t>Проєктна група переглянула збалансованість, раціональне призначення кредитів, здатність здобувачів вищої освіти ефективно опановувати її освітні компоненти, а також рекомендації Національного агентства із забезпечення якості вищої освіти.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568B7">
        <w:rPr>
          <w:bCs/>
          <w:iCs/>
          <w:sz w:val="28"/>
          <w:szCs w:val="28"/>
        </w:rPr>
        <w:t xml:space="preserve">Деталізовано мету освітньої програми та її особливості, синхронізувавши їх із відповідними компетентностями та програмними результатами навчання. Поточна редакція мети освітньої програми у явному вигляді узгоджена із концепцією розвитку </w:t>
      </w:r>
      <w:r w:rsidRPr="00B568B7">
        <w:rPr>
          <w:sz w:val="28"/>
          <w:szCs w:val="28"/>
        </w:rPr>
        <w:t xml:space="preserve">КПІ ім. Ігоря Сікорського. 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568B7">
        <w:rPr>
          <w:bCs/>
          <w:iCs/>
          <w:sz w:val="28"/>
          <w:szCs w:val="28"/>
        </w:rPr>
        <w:t xml:space="preserve">Переглянуто перелік освітніх компонентів та додатково підсилено їх дисципліною, що формує компетентності у сфері інформаційних технологій та побудови біотехнічних систем. Переосмислено та переглянуто матриці відповідності компонентів освітньої програми програмним компетентностям та програмним результатам навчання. </w:t>
      </w: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rPr>
          <w:bCs/>
          <w:iCs/>
          <w:sz w:val="28"/>
          <w:szCs w:val="28"/>
        </w:rPr>
      </w:pPr>
    </w:p>
    <w:p w:rsidR="00AC5ECE" w:rsidRPr="00B568B7" w:rsidRDefault="00AC5ECE" w:rsidP="00B07903">
      <w:pPr>
        <w:tabs>
          <w:tab w:val="left" w:leader="underscore" w:pos="9781"/>
        </w:tabs>
        <w:spacing w:line="276" w:lineRule="auto"/>
        <w:ind w:firstLine="709"/>
        <w:rPr>
          <w:bCs/>
          <w:i/>
          <w:sz w:val="28"/>
          <w:szCs w:val="28"/>
        </w:rPr>
      </w:pPr>
      <w:r w:rsidRPr="00B568B7">
        <w:rPr>
          <w:bCs/>
          <w:iCs/>
          <w:sz w:val="28"/>
          <w:szCs w:val="28"/>
        </w:rPr>
        <w:t xml:space="preserve">Освітню програму обговорено після надходження всіх зауважень та пропозицій та схвалено на засіданні кафедри </w:t>
      </w:r>
      <w:r>
        <w:rPr>
          <w:bCs/>
          <w:iCs/>
          <w:sz w:val="28"/>
          <w:szCs w:val="28"/>
        </w:rPr>
        <w:t xml:space="preserve">біобезпеки та здоров’я людини </w:t>
      </w:r>
      <w:r w:rsidRPr="00637D93">
        <w:rPr>
          <w:sz w:val="28"/>
          <w:szCs w:val="28"/>
        </w:rPr>
        <w:t>(протокол № _ від __ серпня 2021 р.)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та кафедри </w:t>
      </w:r>
      <w:r w:rsidRPr="00B568B7">
        <w:rPr>
          <w:bCs/>
          <w:iCs/>
          <w:sz w:val="28"/>
          <w:szCs w:val="28"/>
        </w:rPr>
        <w:t>трансляційної медичної біоінженері</w:t>
      </w:r>
      <w:r w:rsidRPr="00637D93">
        <w:rPr>
          <w:bCs/>
          <w:iCs/>
          <w:sz w:val="28"/>
          <w:szCs w:val="28"/>
        </w:rPr>
        <w:t xml:space="preserve">ї </w:t>
      </w:r>
      <w:r w:rsidRPr="00637D93">
        <w:rPr>
          <w:sz w:val="28"/>
          <w:szCs w:val="28"/>
        </w:rPr>
        <w:t>(протокол № _ від __ серпня 2021 р.).</w:t>
      </w:r>
    </w:p>
    <w:p w:rsidR="00AC5ECE" w:rsidRPr="00B568B7" w:rsidRDefault="00AC5ECE" w:rsidP="00B07903">
      <w:pPr>
        <w:pStyle w:val="TOCHeading"/>
        <w:spacing w:before="120"/>
        <w:jc w:val="center"/>
        <w:rPr>
          <w:color w:val="auto"/>
          <w:sz w:val="28"/>
          <w:szCs w:val="28"/>
        </w:rPr>
      </w:pPr>
      <w:r w:rsidRPr="00B568B7">
        <w:rPr>
          <w:color w:val="auto"/>
          <w:sz w:val="28"/>
          <w:szCs w:val="28"/>
        </w:rPr>
        <w:br w:type="page"/>
        <w:t>ЗМІСТ</w:t>
      </w:r>
    </w:p>
    <w:p w:rsidR="00AC5ECE" w:rsidRPr="00B568B7" w:rsidRDefault="00AC5ECE" w:rsidP="00B07903">
      <w:pPr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075"/>
        <w:gridCol w:w="496"/>
      </w:tblGrid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1. Профіль освітньої програми………………………………………………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5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2. Перелік компонент освітньої програми………………………………….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10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3. Структурно-логічна схема освітньої програми………………………….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11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4. Форма атестації здобувачів вищої освіти………………………………..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11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5. Матриця відповідності програмних компетентностей компонентам освітньої програми……………………………………………………………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</w:p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12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6. Матриця забезпечення програмних результатів навчання відповідними компонентами освітньої програми………………………………………….</w:t>
            </w:r>
          </w:p>
        </w:tc>
        <w:tc>
          <w:tcPr>
            <w:tcW w:w="0" w:type="auto"/>
          </w:tcPr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</w:p>
          <w:p w:rsidR="00AC5ECE" w:rsidRPr="00B568B7" w:rsidRDefault="00AC5ECE" w:rsidP="00FD069C">
            <w:pPr>
              <w:spacing w:line="276" w:lineRule="auto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13</w:t>
            </w: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</w:p>
        </w:tc>
      </w:tr>
      <w:tr w:rsidR="00AC5ECE" w:rsidRPr="00B568B7" w:rsidTr="00FD069C">
        <w:tc>
          <w:tcPr>
            <w:tcW w:w="0" w:type="auto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</w:p>
        </w:tc>
      </w:tr>
    </w:tbl>
    <w:p w:rsidR="00AC5ECE" w:rsidRPr="00B568B7" w:rsidRDefault="00AC5ECE" w:rsidP="00B07903">
      <w:pPr>
        <w:ind w:left="567"/>
        <w:rPr>
          <w:sz w:val="28"/>
          <w:szCs w:val="28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br w:type="page"/>
      </w:r>
      <w:bookmarkStart w:id="1" w:name="_Toc505684208"/>
      <w:bookmarkStart w:id="2" w:name="_Toc505684253"/>
      <w:bookmarkStart w:id="3" w:name="_Toc505684311"/>
      <w:r w:rsidRPr="00B568B7">
        <w:rPr>
          <w:b/>
          <w:sz w:val="28"/>
          <w:szCs w:val="28"/>
        </w:rPr>
        <w:t>1. Профіль освітньої програми</w:t>
      </w:r>
      <w:bookmarkEnd w:id="1"/>
      <w:bookmarkEnd w:id="2"/>
      <w:bookmarkEnd w:id="3"/>
      <w:r w:rsidRPr="00B568B7">
        <w:rPr>
          <w:b/>
          <w:sz w:val="28"/>
          <w:szCs w:val="28"/>
        </w:rPr>
        <w:t>зі спеціальності 163 Біомедична інженерія</w:t>
      </w:r>
    </w:p>
    <w:p w:rsidR="00AC5ECE" w:rsidRPr="00B568B7" w:rsidRDefault="00AC5ECE" w:rsidP="00B07903">
      <w:pPr>
        <w:jc w:val="center"/>
        <w:rPr>
          <w:b/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1236"/>
        <w:gridCol w:w="977"/>
        <w:gridCol w:w="140"/>
        <w:gridCol w:w="7242"/>
        <w:gridCol w:w="16"/>
      </w:tblGrid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center"/>
              <w:rPr>
                <w:b/>
              </w:rPr>
            </w:pPr>
            <w:r w:rsidRPr="004F76F9">
              <w:rPr>
                <w:b/>
              </w:rPr>
              <w:t>1 – Загальна інформація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ЗВО та інституту/ факультету</w:t>
            </w:r>
          </w:p>
        </w:tc>
        <w:tc>
          <w:tcPr>
            <w:tcW w:w="7402" w:type="dxa"/>
            <w:gridSpan w:val="3"/>
          </w:tcPr>
          <w:p w:rsidR="00AC5ECE" w:rsidRPr="004F76F9" w:rsidRDefault="00AC5ECE" w:rsidP="00FD069C">
            <w:pPr>
              <w:ind w:right="-74"/>
            </w:pPr>
            <w:r w:rsidRPr="004F76F9">
              <w:t xml:space="preserve">Національний технічний університет України </w:t>
            </w:r>
          </w:p>
          <w:p w:rsidR="00AC5ECE" w:rsidRPr="004F76F9" w:rsidRDefault="00AC5ECE" w:rsidP="00FD069C">
            <w:pPr>
              <w:ind w:right="-74"/>
            </w:pPr>
            <w:r w:rsidRPr="004F76F9">
              <w:t xml:space="preserve">«Київський політехнічний інститут імені Ігоря Сікорського», Факультет біомедичної інженерії 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– магістр</w:t>
            </w:r>
          </w:p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Кваліфікація – магістр з біомедичної інженерії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Цикл/рівень ВО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Національна рамка кваліфікації України – 7 рівень;</w:t>
            </w:r>
          </w:p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QF-EHEA (Рамка кваліфікація Європейського простору вищої освіти) – другий цикл; </w:t>
            </w:r>
          </w:p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ЕQF-LLL (Європейська рамка кваліфікацій для навчання впродовж життя) – 7 рівень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7402" w:type="dxa"/>
            <w:gridSpan w:val="3"/>
          </w:tcPr>
          <w:p w:rsidR="00AC5ECE" w:rsidRPr="004F76F9" w:rsidRDefault="00AC5ECE" w:rsidP="00FD069C">
            <w:pPr>
              <w:ind w:right="-74"/>
            </w:pPr>
            <w:r w:rsidRPr="004F76F9">
              <w:rPr>
                <w:shd w:val="clear" w:color="auto" w:fill="FFFFFF"/>
                <w:lang w:eastAsia="uk-UA"/>
              </w:rPr>
              <w:t>Біобезпека та біозахист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Диплом магістра, одиничний, 90 кредитів, термін навчання 1 рік 4 місяці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tabs>
                <w:tab w:val="left" w:pos="287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_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ступеня бакалавра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7402" w:type="dxa"/>
            <w:gridSpan w:val="3"/>
          </w:tcPr>
          <w:p w:rsidR="00AC5ECE" w:rsidRPr="004F76F9" w:rsidRDefault="00AC5ECE" w:rsidP="00FD069C">
            <w:pPr>
              <w:ind w:right="-74"/>
            </w:pPr>
            <w:r w:rsidRPr="004F76F9">
              <w:t>Українська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_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Інтернет-адреса постійного розміщення освітньої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center"/>
              <w:rPr>
                <w:b/>
              </w:rPr>
            </w:pPr>
            <w:r w:rsidRPr="004F76F9">
              <w:rPr>
                <w:b/>
              </w:rPr>
              <w:t>2 – Мета освітньої програми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висококваліфікованих фахівців, здатних створювати сучасні наукові знання та проводити інноваційні розробки у галузі біомедичної інженерії, здатних до організації та проведення науково-дослідних, проєктно-інженерних та виробничо-технологічних робіт, що пов’язані з біобезпекою та біозахистом, базуючись на концепціях:</w:t>
            </w:r>
          </w:p>
          <w:p w:rsidR="00AC5ECE" w:rsidRPr="00CC454A" w:rsidRDefault="00AC5ECE" w:rsidP="006A6FEE">
            <w:pPr>
              <w:pStyle w:val="a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інтернаціоналізації та інтеграції освіти, новітніх наукових досліджень та інноваційних розробок;</w:t>
            </w:r>
          </w:p>
          <w:p w:rsidR="00AC5ECE" w:rsidRPr="00CC454A" w:rsidRDefault="00AC5ECE" w:rsidP="006A6FEE">
            <w:pPr>
              <w:pStyle w:val="a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самостійного розвитку людського, професійного та дослідницько-інноваційного потенціалу.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center"/>
              <w:rPr>
                <w:b/>
              </w:rPr>
            </w:pPr>
            <w:r w:rsidRPr="004F76F9">
              <w:rPr>
                <w:b/>
              </w:rPr>
              <w:t>3 – Характеристика освітньої програми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Предметна область (галузь знань, спеціальність)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Галузь знань – 16 Хімічна та біоінженерія, спеціальність – 163 Біомедична інженерія.</w:t>
            </w:r>
          </w:p>
          <w:p w:rsidR="00AC5ECE" w:rsidRPr="004F76F9" w:rsidRDefault="00AC5ECE" w:rsidP="00FD069C">
            <w:pPr>
              <w:jc w:val="both"/>
            </w:pPr>
            <w:r w:rsidRPr="004F76F9">
              <w:rPr>
                <w:i/>
                <w:iCs/>
              </w:rPr>
              <w:t>Об’єкт(и) вивчення та/або діяльності:</w:t>
            </w:r>
            <w:r w:rsidRPr="004F76F9">
              <w:t xml:space="preserve">  засоби і методи  інженерії і точних наук для вирішення проблем біобезпеки та біозахисту в біомедичній інженерії, біотехнології та медицині: розроблення, виробництво, випробування, експлуатація, сервісне обслуговування, ремонт і експертиза медичної техніки, біоматеріалів, біоінженерних систем і процесів, виробів медикобіологічного призначення; обробка біомедичної інформації; техніко-інформаційне супроводження медичних технологій та систем, забезпечення біобезпеки та біозахисту, поліпшення здоров’я, тривалості і якості життя.  </w:t>
            </w:r>
          </w:p>
          <w:p w:rsidR="00AC5ECE" w:rsidRPr="004F76F9" w:rsidRDefault="00AC5ECE" w:rsidP="00FD069C">
            <w:pPr>
              <w:jc w:val="both"/>
            </w:pPr>
            <w:r w:rsidRPr="004F76F9">
              <w:rPr>
                <w:i/>
                <w:iCs/>
              </w:rPr>
              <w:t xml:space="preserve">Цілі навчання: </w:t>
            </w:r>
            <w:r w:rsidRPr="004F76F9">
              <w:t xml:space="preserve">підготовка фахівців біомедичної інженерії, здатних розв’язувати складні задачі і проблеми у сфері біобезпеки та біозахисту, що передбачає проведення досліджень у процесі навчання та/або здійснення інновацій та характеризується невизначеністю умов і вимог. </w:t>
            </w:r>
          </w:p>
          <w:p w:rsidR="00AC5ECE" w:rsidRPr="004F76F9" w:rsidRDefault="00AC5ECE" w:rsidP="00FD069C">
            <w:pPr>
              <w:jc w:val="both"/>
            </w:pPr>
            <w:r w:rsidRPr="004F76F9">
              <w:rPr>
                <w:i/>
                <w:iCs/>
              </w:rPr>
              <w:t>Теоретичний зміст предметної області:</w:t>
            </w:r>
            <w:r w:rsidRPr="004F76F9">
              <w:t xml:space="preserve"> фундаментальні та прикладні основи аналізу біозагроз, моделювання їх розвитку, проєктування, розробки, виробництва, випробування, експлуатації і експертизи, технічного та інформаційного супроводження засобів біозахисту, медичної техніки, медичних виробів і біоматеріалів, біоінженерних систем і процесів, обробка і інтерпретація біомедичної інформації. </w:t>
            </w:r>
          </w:p>
          <w:p w:rsidR="00AC5ECE" w:rsidRPr="004F76F9" w:rsidRDefault="00AC5ECE" w:rsidP="00FD069C">
            <w:pPr>
              <w:jc w:val="both"/>
            </w:pPr>
            <w:r w:rsidRPr="004F76F9">
              <w:rPr>
                <w:i/>
                <w:iCs/>
              </w:rPr>
              <w:t>Методи, методики та технології:</w:t>
            </w:r>
            <w:r w:rsidRPr="004F76F9">
              <w:t>інженерно-конструкторські методи, біотехнічні та медико-технічні технології, моделювання, програмне забезпечення та інформаційні технології для обробки та аналізу даних біології, медицини та медичного приладобудування.</w:t>
            </w:r>
          </w:p>
          <w:p w:rsidR="00AC5ECE" w:rsidRPr="004F76F9" w:rsidRDefault="00AC5ECE" w:rsidP="00FD069C">
            <w:pPr>
              <w:jc w:val="both"/>
            </w:pPr>
            <w:r w:rsidRPr="004F76F9">
              <w:rPr>
                <w:i/>
                <w:iCs/>
              </w:rPr>
              <w:t>Інструменти та обладнання:</w:t>
            </w:r>
            <w:r w:rsidRPr="004F76F9">
              <w:t xml:space="preserve"> біологічна та медична техніка, біомедичні вироби і матеріали медичного призначення, штучні органи, обчислювальна техніка, засоби та системи автоматизованого проєктування, конструювання, моделювання в біології та медицині.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Орієнтація освітньої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Освітньо-професійна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Основний фокус освітньої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Ключові слова: біобезпека, </w:t>
            </w:r>
            <w:r w:rsidRPr="00CC454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біозахисту, </w:t>
            </w:r>
            <w:r w:rsidRPr="00CC454A">
              <w:rPr>
                <w:rFonts w:ascii="Times New Roman" w:hAnsi="Times New Roman"/>
                <w:color w:val="3E3F40"/>
                <w:sz w:val="24"/>
                <w:szCs w:val="24"/>
                <w:lang w:val="uk-UA" w:eastAsia="en-US"/>
              </w:rPr>
              <w:t>національна безпека, біологічні загрози, біологічна безпека, біологічний захист,</w:t>
            </w:r>
            <w:r w:rsidRPr="00CC454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лабораторний біозахист, управління біологічними ризиками, </w:t>
            </w:r>
            <w:r w:rsidRPr="00CC454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біотехнологія, 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біоінженерія, </w:t>
            </w:r>
            <w:r w:rsidRPr="00CC454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біотрансформація, біосенсори, </w:t>
            </w:r>
            <w:r w:rsidRPr="00CC454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біологічні патогенні агенти, біоризик</w:t>
            </w:r>
            <w:r w:rsidRPr="00CC454A">
              <w:rPr>
                <w:rFonts w:ascii="Times New Roman" w:hAnsi="Times New Roman"/>
                <w:color w:val="3E3F40"/>
                <w:sz w:val="24"/>
                <w:szCs w:val="24"/>
                <w:lang w:val="uk-UA" w:eastAsia="en-US"/>
              </w:rPr>
              <w:t xml:space="preserve">, </w:t>
            </w:r>
            <w:r w:rsidRPr="00CC454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біоконтроль, 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біологічна зброя,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біомедична інженерія, біомедичні технології, клітинна та тканинна інженерія; біофармацевтична інженерія, біотехнічні системи, б</w:t>
            </w:r>
            <w:r w:rsidRPr="00CC454A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іоетика, 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лабораторна діагностика, виявлення та ідентифікація біозагроз 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контексті предметної області – поглиблене вивчення методів, засобів та технологій біомечної інженерії по виявленню та захисту від біозагроз на </w:t>
            </w: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всіх технологічних етапах функціонування системи біозахисту та усіх етапах життєвого циклу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виробів медичного призначення та іншої біоінженерної продукції у системі охорони здоров’я та інших сферах діяльності, пов’язаних з питаннями біобезпеки та біозахисту. Здобувачі орієнтовані на реалізацію професійних задач із використанням </w:t>
            </w: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найкращих професійних практик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зокрема належної практики біомедичної інженерії. 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both"/>
              <w:rPr>
                <w:b/>
              </w:rPr>
            </w:pPr>
            <w:r w:rsidRPr="004F76F9">
              <w:rPr>
                <w:b/>
              </w:rPr>
              <w:t>4 – Придатність випускників до працевлаштування та подальшого навчання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7402" w:type="dxa"/>
            <w:gridSpan w:val="3"/>
          </w:tcPr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Працевлаштування за ДК 003:2010:</w:t>
            </w:r>
          </w:p>
          <w:p w:rsidR="00AC5ECE" w:rsidRPr="00CC454A" w:rsidRDefault="00AC5ECE" w:rsidP="00FD069C">
            <w:pPr>
              <w:pStyle w:val="a1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2149.1 – Молодший науковий співробітник (біоінженерія)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Інженер-дослідник біомедичний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 біомедичний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 з налагодження й випробувань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 із впровадження нової техніки й технології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Інженер-дослідник</w:t>
            </w:r>
          </w:p>
          <w:p w:rsidR="00AC5ECE" w:rsidRPr="004F76F9" w:rsidRDefault="00AC5ECE" w:rsidP="00FD069C">
            <w:pPr>
              <w:ind w:right="-74"/>
              <w:jc w:val="both"/>
              <w:rPr>
                <w:shd w:val="clear" w:color="auto" w:fill="FFFFFF"/>
                <w:lang w:eastAsia="uk-UA"/>
              </w:rPr>
            </w:pPr>
            <w:r w:rsidRPr="004F76F9">
              <w:rPr>
                <w:shd w:val="clear" w:color="auto" w:fill="FFFFFF"/>
                <w:lang w:eastAsia="uk-UA"/>
              </w:rPr>
              <w:t>2149.2 – Інженер-конструктор</w:t>
            </w:r>
          </w:p>
          <w:p w:rsidR="00AC5ECE" w:rsidRPr="00CC454A" w:rsidRDefault="00AC5ECE" w:rsidP="00FD069C">
            <w:pPr>
              <w:pStyle w:val="a1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2149.2 – </w:t>
            </w: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Інженер-дослідник, інженер із стандартизації та якості, інженер-лаборант, інженер-технолог, інженер з охорони праці</w:t>
            </w:r>
          </w:p>
          <w:p w:rsidR="00AC5ECE" w:rsidRPr="00CC454A" w:rsidRDefault="00AC5ECE" w:rsidP="00FD069C">
            <w:pPr>
              <w:pStyle w:val="a1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2310.2 – Викладач вищого навчального закладу</w:t>
            </w:r>
          </w:p>
          <w:p w:rsidR="00AC5ECE" w:rsidRPr="00CC454A" w:rsidRDefault="00AC5ECE" w:rsidP="00FD069C">
            <w:pPr>
              <w:pStyle w:val="a1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2310.2 – Асистент</w:t>
            </w:r>
          </w:p>
          <w:p w:rsidR="00AC5ECE" w:rsidRPr="00CC454A" w:rsidRDefault="00AC5ECE" w:rsidP="00FD069C">
            <w:pPr>
              <w:pStyle w:val="a1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2320 – Викладач професійно-технічного навчального закладу</w:t>
            </w:r>
          </w:p>
        </w:tc>
      </w:tr>
      <w:tr w:rsidR="00AC5ECE" w:rsidRPr="004F76F9" w:rsidTr="00FD069C">
        <w:trPr>
          <w:cantSplit/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Продовження освіти за програмою підготовки третього (освітньо-наукового) рівня вищої освіти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both"/>
              <w:rPr>
                <w:b/>
              </w:rPr>
            </w:pPr>
            <w:r w:rsidRPr="004F76F9">
              <w:rPr>
                <w:b/>
              </w:rPr>
              <w:t>5 – Викладання та оцінювання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Лекції, практичні та семінарські заняття, комп’ютерні практикуми і лабораторні роботи; курсові проєкти і роботи; технологія змішаного навчання, практики і екскурсії; виконання магістерської дисертації  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система оцінювання, усні та письмові екзамени, тестування.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both"/>
              <w:rPr>
                <w:b/>
              </w:rPr>
            </w:pPr>
            <w:r w:rsidRPr="004F76F9">
              <w:rPr>
                <w:b/>
              </w:rPr>
              <w:t>6 – Програмні компетентності</w:t>
            </w:r>
          </w:p>
        </w:tc>
      </w:tr>
      <w:tr w:rsidR="00AC5ECE" w:rsidRPr="004F76F9" w:rsidTr="00FD069C">
        <w:trPr>
          <w:trHeight w:val="20"/>
        </w:trPr>
        <w:tc>
          <w:tcPr>
            <w:tcW w:w="221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7402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складні задачі та проблеми у біомедичній інженерії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</w:tcPr>
          <w:p w:rsidR="00AC5ECE" w:rsidRPr="00CC454A" w:rsidRDefault="00AC5ECE" w:rsidP="00FD069C">
            <w:pPr>
              <w:pStyle w:val="a1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ЗК 1</w:t>
            </w:r>
            <w:r w:rsidRPr="00CC454A">
              <w:rPr>
                <w:rStyle w:val="FootnoteReference"/>
                <w:rFonts w:ascii="Times New Roman" w:hAnsi="Times New Roman"/>
                <w:sz w:val="24"/>
                <w:szCs w:val="24"/>
                <w:lang w:val="uk-UA" w:eastAsia="uk-UA"/>
              </w:rPr>
              <w:footnoteReference w:id="1"/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F9">
              <w:rPr>
                <w:rFonts w:ascii="Times New Roman" w:hAnsi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ЗК 2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F9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ЗК 3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F9">
              <w:rPr>
                <w:rFonts w:ascii="Times New Roman" w:hAnsi="Times New Roman"/>
                <w:sz w:val="24"/>
                <w:szCs w:val="24"/>
              </w:rPr>
              <w:t>Вміння виявляти, ставити та вирішувати проблеми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pacing w:val="0"/>
                <w:sz w:val="24"/>
                <w:szCs w:val="24"/>
                <w:lang w:val="uk-UA" w:eastAsia="uk-UA"/>
              </w:rPr>
              <w:t>ЗК 4</w:t>
            </w:r>
            <w:r w:rsidRPr="00CC454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F9">
              <w:rPr>
                <w:rFonts w:ascii="Times New Roman" w:hAnsi="Times New Roman"/>
                <w:sz w:val="24"/>
                <w:szCs w:val="24"/>
              </w:rPr>
              <w:t xml:space="preserve">Здатність працювати в команді, </w:t>
            </w:r>
            <w:r w:rsidRPr="004F76F9">
              <w:rPr>
                <w:rFonts w:ascii="Times New Roman" w:hAnsi="Times New Roman"/>
                <w:i/>
                <w:iCs/>
                <w:sz w:val="24"/>
                <w:szCs w:val="24"/>
              </w:rPr>
              <w:t>організовувати та управляти власною роботою та роботою колективу.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pacing w:val="0"/>
                <w:sz w:val="24"/>
                <w:szCs w:val="24"/>
                <w:lang w:val="uk-UA" w:eastAsia="uk-UA"/>
              </w:rPr>
              <w:t>ЗК 5</w:t>
            </w:r>
            <w:r w:rsidRPr="00CC454A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76F9">
              <w:rPr>
                <w:rFonts w:ascii="Times New Roman" w:hAnsi="Times New Roman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AC5ECE" w:rsidRPr="004F76F9" w:rsidTr="00FD069C">
        <w:trPr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iCs/>
                <w:spacing w:val="0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iCs/>
                <w:spacing w:val="0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76F9">
              <w:rPr>
                <w:rFonts w:ascii="Times New Roman" w:hAnsi="Times New Roman"/>
                <w:i/>
                <w:iCs/>
                <w:sz w:val="24"/>
                <w:szCs w:val="24"/>
              </w:rPr>
              <w:t>Здатність удосконалювати й розвивати свій інтелектуальний і культурний рівень, будувати траєкторію розвитку й кар’єри</w:t>
            </w:r>
          </w:p>
        </w:tc>
      </w:tr>
      <w:tr w:rsidR="00AC5ECE" w:rsidRPr="004F76F9" w:rsidTr="00FD069C">
        <w:trPr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iCs/>
                <w:spacing w:val="0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iCs/>
                <w:spacing w:val="0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76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Здатність спілкуватися іноземною мовою для ефективного вирішення професійних завдань 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</w:tcPr>
          <w:p w:rsidR="00AC5ECE" w:rsidRPr="00CC454A" w:rsidRDefault="00AC5ECE" w:rsidP="00FD069C">
            <w:pPr>
              <w:pStyle w:val="a1"/>
              <w:keepNext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Фахові компетентності (ФК)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"/>
                <w:szCs w:val="24"/>
                <w:lang w:val="uk-UA" w:eastAsia="uk-UA"/>
              </w:rPr>
              <w:t>ФК 1</w:t>
            </w:r>
            <w:r w:rsidRPr="00CC454A">
              <w:rPr>
                <w:rStyle w:val="15TimesNewRoman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>Здатність вирішувати комплексні проблеми біомедичної інженерії із застосовуванням методів математики, природничих та інженерних наук</w:t>
            </w:r>
            <w:r w:rsidRPr="004F76F9">
              <w:rPr>
                <w:lang w:eastAsia="uk-UA"/>
              </w:rPr>
              <w:t>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"/>
                <w:szCs w:val="24"/>
                <w:lang w:val="uk-UA" w:eastAsia="uk-UA"/>
              </w:rPr>
              <w:t>ФК 2</w:t>
            </w:r>
            <w:r w:rsidRPr="00CC454A">
              <w:rPr>
                <w:rStyle w:val="15TimesNewRoman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>Здатність розробляти робочу гіпотезу, планувати і ставити експерименти для перевірки гіпотези і досягнення інженерної мети за допомогою відповідних технологій, технічних засобів та інструментів</w:t>
            </w:r>
            <w:r w:rsidRPr="004F76F9">
              <w:rPr>
                <w:lang w:eastAsia="uk-UA"/>
              </w:rPr>
              <w:t xml:space="preserve">. 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3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>Здатність аналізувати складні медико-інженерні та біоінженерні проблеми та здійснювати їх формалізацію для знаходження кількісних рішень із застосуванням сучасних математичних методів та інформаційних технологій</w:t>
            </w:r>
            <w:r w:rsidRPr="004F76F9">
              <w:rPr>
                <w:lang w:eastAsia="uk-UA"/>
              </w:rPr>
              <w:t>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4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 xml:space="preserve">Здатність створювати і вдосконалювати засоби, методи та технології біомедичної інженерії для дослідження і розробки біоінженерних об’єктів та систем </w:t>
            </w:r>
            <w:r w:rsidRPr="004F76F9">
              <w:rPr>
                <w:lang w:eastAsia="uk-UA"/>
              </w:rPr>
              <w:t>медико-технічного</w:t>
            </w:r>
            <w:r w:rsidRPr="004F76F9">
              <w:t xml:space="preserve"> призначення</w:t>
            </w:r>
            <w:r w:rsidRPr="004F76F9">
              <w:rPr>
                <w:lang w:eastAsia="uk-UA"/>
              </w:rPr>
              <w:t xml:space="preserve">. 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5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>Здатність розробляти технічні завдання на створення, а також моделювати, оцінювати, проєктувати та конструювати складні біоінженерні та медико-інженерні системи і технології</w:t>
            </w:r>
            <w:r w:rsidRPr="004F76F9">
              <w:rPr>
                <w:lang w:eastAsia="uk-UA"/>
              </w:rPr>
              <w:t xml:space="preserve">. 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"/>
                <w:color w:val="000000"/>
                <w:szCs w:val="24"/>
                <w:lang w:val="uk-UA" w:eastAsia="en-US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6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t>Здатність досліджувати біологічні та технічні аспекти функціонування та взаємодії штучних біологічних і біотехнічних систем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7</w:t>
            </w:r>
            <w:r w:rsidRPr="00CC454A">
              <w:rPr>
                <w:rStyle w:val="15TimesNewRoman1"/>
                <w:szCs w:val="24"/>
                <w:vertAlign w:val="superscript"/>
                <w:lang w:val="uk-UA" w:eastAsia="uk-UA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175"/>
                <w:tab w:val="left" w:pos="317"/>
                <w:tab w:val="left" w:pos="3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76F9">
              <w:rPr>
                <w:sz w:val="24"/>
                <w:szCs w:val="24"/>
              </w:rPr>
              <w:t>Здатність працювати в багатопрофільному колективі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8</w:t>
            </w:r>
          </w:p>
        </w:tc>
        <w:tc>
          <w:tcPr>
            <w:tcW w:w="8363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Здатність проєктувати та організовувати виробництво підприємств та організацій, що працюють у галузі біомедичної та біофармацевтичної інженерії 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  <w:vAlign w:val="center"/>
          </w:tcPr>
          <w:p w:rsidR="00AC5ECE" w:rsidRPr="00CC454A" w:rsidRDefault="00AC5ECE" w:rsidP="00FD069C">
            <w:pPr>
              <w:pStyle w:val="150"/>
              <w:shd w:val="clear" w:color="auto" w:fill="auto"/>
              <w:spacing w:line="240" w:lineRule="auto"/>
              <w:ind w:right="-74"/>
              <w:jc w:val="center"/>
              <w:rPr>
                <w:rStyle w:val="15TimesNewRoman1"/>
                <w:szCs w:val="24"/>
                <w:lang w:val="uk-UA" w:eastAsia="uk-UA"/>
              </w:rPr>
            </w:pPr>
            <w:r w:rsidRPr="00CC454A">
              <w:rPr>
                <w:rStyle w:val="15TimesNewRoman1"/>
                <w:szCs w:val="24"/>
                <w:lang w:val="uk-UA" w:eastAsia="uk-UA"/>
              </w:rPr>
              <w:t>ФК 9</w:t>
            </w:r>
          </w:p>
        </w:tc>
        <w:tc>
          <w:tcPr>
            <w:tcW w:w="8363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Здатність використовувати інноваційні підходи у розробці біомедичних технологій на основі методів біомолекулярної, клітинної та тканинної інженерії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both"/>
              <w:rPr>
                <w:b/>
              </w:rPr>
            </w:pPr>
            <w:bookmarkStart w:id="4" w:name="_Hlk59302243"/>
            <w:r w:rsidRPr="004F76F9">
              <w:rPr>
                <w:b/>
              </w:rPr>
              <w:t>7 – Програмні результати навчання</w:t>
            </w:r>
          </w:p>
        </w:tc>
      </w:tr>
      <w:bookmarkEnd w:id="4"/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  <w:rPr>
                <w:shd w:val="clear" w:color="auto" w:fill="FFFFFF"/>
                <w:lang w:eastAsia="uk-UA"/>
              </w:rPr>
            </w:pPr>
            <w:r w:rsidRPr="004F76F9">
              <w:t>ПРН 1</w:t>
            </w:r>
          </w:p>
        </w:tc>
        <w:tc>
          <w:tcPr>
            <w:tcW w:w="8363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Знати вітчизняне та міжнародне законодавство у сфері авторського права,  основні принципи та поняття у сфері захисту інтелектуальної власності. Знати способи захисту своїх авторських прав та уникнення порушень авторського права у процесі професійної діяльності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  <w:rPr>
                <w:shd w:val="clear" w:color="auto" w:fill="FFFFFF"/>
                <w:lang w:eastAsia="uk-UA"/>
              </w:rPr>
            </w:pPr>
            <w:bookmarkStart w:id="5" w:name="_Hlk55647611"/>
            <w:r w:rsidRPr="004F76F9">
              <w:t>ПРН 2</w:t>
            </w:r>
          </w:p>
        </w:tc>
        <w:tc>
          <w:tcPr>
            <w:tcW w:w="8363" w:type="dxa"/>
            <w:gridSpan w:val="3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 w:eastAsia="uk-UA"/>
              </w:rPr>
            </w:pPr>
            <w:bookmarkStart w:id="6" w:name="_Hlk59310046"/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Знати основні методичні прийоми культивування еукаріотичних клітин, а також технології їх застосування у наукових цілях, біомедичній інженерії, біології, медицині, фармації. </w:t>
            </w:r>
            <w:bookmarkEnd w:id="6"/>
          </w:p>
        </w:tc>
      </w:tr>
      <w:bookmarkEnd w:id="5"/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3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360"/>
                <w:tab w:val="left" w:pos="459"/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F76F9">
              <w:rPr>
                <w:color w:val="000000"/>
                <w:sz w:val="24"/>
                <w:szCs w:val="24"/>
              </w:rPr>
              <w:t xml:space="preserve">Проєктувати, конструювати, вдосконалювати, застосовувати та </w:t>
            </w:r>
            <w:r w:rsidRPr="004F76F9">
              <w:rPr>
                <w:i/>
                <w:sz w:val="24"/>
                <w:szCs w:val="24"/>
              </w:rPr>
              <w:t>налагоджувати виробництво медичних виробів та інших продуктів у системі охорони здоров’я (у т.ч біологічного та біотехнологічного походження)</w:t>
            </w:r>
            <w:r w:rsidRPr="004F76F9">
              <w:rPr>
                <w:color w:val="000000"/>
                <w:sz w:val="24"/>
                <w:szCs w:val="24"/>
              </w:rPr>
              <w:t xml:space="preserve"> з дотриманням </w:t>
            </w:r>
            <w:r w:rsidRPr="004F76F9">
              <w:rPr>
                <w:i/>
                <w:sz w:val="24"/>
                <w:szCs w:val="24"/>
              </w:rPr>
              <w:t>сучасних</w:t>
            </w:r>
            <w:r w:rsidRPr="004F76F9">
              <w:rPr>
                <w:color w:val="000000"/>
                <w:sz w:val="24"/>
                <w:szCs w:val="24"/>
              </w:rPr>
              <w:t>технічних вимог, а також супроводжувати їх експлуатацію.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4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360"/>
                <w:tab w:val="left" w:pos="459"/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F76F9">
              <w:rPr>
                <w:color w:val="000000"/>
                <w:sz w:val="24"/>
                <w:szCs w:val="24"/>
              </w:rPr>
              <w:t>Аналізувати і вирішувати складні медико-інженерні та біоінженерні проблеми із застосуванням математичних методів та інформаційних технологій.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5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360"/>
                <w:tab w:val="left" w:pos="459"/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bookmarkStart w:id="7" w:name="_Hlk59310122"/>
            <w:r w:rsidRPr="004F76F9">
              <w:rPr>
                <w:color w:val="000000"/>
                <w:sz w:val="24"/>
                <w:szCs w:val="24"/>
              </w:rPr>
              <w:t xml:space="preserve">Створювати і вдосконалювати засоби, методи та технології біомедичної інженерії для всебічного дослідження і розробки біоінженерних, </w:t>
            </w:r>
            <w:r w:rsidRPr="004F76F9">
              <w:rPr>
                <w:i/>
                <w:sz w:val="24"/>
                <w:szCs w:val="24"/>
              </w:rPr>
              <w:t>біотехнічних та біофармацевтичних</w:t>
            </w:r>
            <w:r w:rsidRPr="004F76F9">
              <w:rPr>
                <w:color w:val="000000"/>
                <w:sz w:val="24"/>
                <w:szCs w:val="24"/>
              </w:rPr>
              <w:t xml:space="preserve"> об’єктів та систем медико-технічного призначення</w:t>
            </w:r>
            <w:bookmarkEnd w:id="7"/>
            <w:r w:rsidRPr="004F76F9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6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F76F9">
              <w:rPr>
                <w:color w:val="000000"/>
                <w:sz w:val="24"/>
                <w:szCs w:val="24"/>
              </w:rPr>
              <w:t>Розробляти, планувати, виконувати та обґрунтовувати інноваційні проєкти біоінженерних об’єктів та систем медико-технічного призначення з урахуванням інженерних, медичних, правових, економічних, екологічних та соціальних аспектів, здійснювати їх інформаційне та методичне забезпечення.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bookmarkStart w:id="8" w:name="_Hlk59310139"/>
            <w:r w:rsidRPr="004F76F9">
              <w:t>ПРН 7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360"/>
                <w:tab w:val="left" w:pos="459"/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F76F9">
              <w:rPr>
                <w:color w:val="000000"/>
                <w:sz w:val="24"/>
                <w:szCs w:val="24"/>
              </w:rPr>
              <w:t>Оцінювати біологічні і технічні аспекти та наслідки взаємодії  інженерно-технічних і біоінженерних об’єктів з біологічними системами, передбачувати їх взаємний вплив, правові, деонтологічні і морально-етичні наслідки використання.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8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pStyle w:val="ListParagraph"/>
              <w:tabs>
                <w:tab w:val="left" w:pos="360"/>
                <w:tab w:val="left" w:pos="459"/>
                <w:tab w:val="left" w:pos="1134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F76F9">
              <w:rPr>
                <w:color w:val="000000"/>
                <w:sz w:val="24"/>
                <w:szCs w:val="24"/>
              </w:rPr>
              <w:t xml:space="preserve">Вирішувати у практичній діяльності завдання біомедичної інженерії з усвідомленням власної етичної та соціальної відповідальності в особистій діяльності та/або в команді </w:t>
            </w:r>
            <w:r w:rsidRPr="004F76F9">
              <w:rPr>
                <w:i/>
                <w:sz w:val="24"/>
                <w:szCs w:val="24"/>
              </w:rPr>
              <w:t>(у т.ч. міжнародній)</w:t>
            </w:r>
          </w:p>
        </w:tc>
      </w:tr>
      <w:bookmarkEnd w:id="8"/>
      <w:tr w:rsidR="00AC5ECE" w:rsidRPr="004F76F9" w:rsidTr="00FD069C">
        <w:trPr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9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jc w:val="both"/>
              <w:rPr>
                <w:i/>
              </w:rPr>
            </w:pPr>
            <w:r w:rsidRPr="004F76F9">
              <w:rPr>
                <w:i/>
              </w:rPr>
              <w:t>Розробляти та управляти проєктами науково-дослідних установ біоінженерного профілю, закладів охорони здоров’я, виробничих та логістичних об’єктів, що спеціалізуються на виготовленні та зберіганні медичних виробів та іншої продукції у системі охорони здоров’я, включаючи їх реконструкцію та модернізацію, на основі національних та міжнародних стандартів та настанов</w:t>
            </w:r>
          </w:p>
        </w:tc>
      </w:tr>
      <w:tr w:rsidR="00AC5ECE" w:rsidRPr="004F76F9" w:rsidTr="00FD069C">
        <w:trPr>
          <w:cantSplit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10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jc w:val="both"/>
              <w:rPr>
                <w:i/>
              </w:rPr>
            </w:pPr>
            <w:r w:rsidRPr="004F76F9">
              <w:rPr>
                <w:i/>
              </w:rPr>
              <w:t xml:space="preserve">Розробляти новітні біомедичні технології (продукти) із використанням методів біомолекулярної, клітинної та тканинної інженерії </w:t>
            </w:r>
          </w:p>
        </w:tc>
      </w:tr>
      <w:tr w:rsidR="00AC5ECE" w:rsidRPr="004F76F9" w:rsidTr="00FD069C">
        <w:trPr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11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jc w:val="both"/>
              <w:rPr>
                <w:i/>
              </w:rPr>
            </w:pPr>
            <w:r w:rsidRPr="004F76F9">
              <w:rPr>
                <w:i/>
              </w:rPr>
              <w:t>Формулювати мету та задачі науково-дослідної та науково-технічної діяльності у галузі біомедичної інженерії виходячи із сучасних тенденцій розвитку науки, техніки та суспільства. Використовувати досвід розвинених країн згідно особливостей управління інноваціями у галузі біомедичної інженерії</w:t>
            </w:r>
          </w:p>
        </w:tc>
      </w:tr>
      <w:tr w:rsidR="00AC5ECE" w:rsidRPr="004F76F9" w:rsidTr="00FD069C">
        <w:trPr>
          <w:gridAfter w:val="1"/>
          <w:wAfter w:w="16" w:type="dxa"/>
          <w:trHeight w:val="20"/>
        </w:trPr>
        <w:tc>
          <w:tcPr>
            <w:tcW w:w="1237" w:type="dxa"/>
            <w:gridSpan w:val="2"/>
          </w:tcPr>
          <w:p w:rsidR="00AC5ECE" w:rsidRPr="004F76F9" w:rsidRDefault="00AC5ECE" w:rsidP="00FD069C">
            <w:pPr>
              <w:ind w:firstLine="30"/>
              <w:jc w:val="center"/>
            </w:pPr>
            <w:r w:rsidRPr="004F76F9">
              <w:t>ПРН 12</w:t>
            </w:r>
            <w:r w:rsidRPr="004F76F9">
              <w:rPr>
                <w:vertAlign w:val="superscript"/>
              </w:rPr>
              <w:t>*</w:t>
            </w:r>
          </w:p>
        </w:tc>
        <w:tc>
          <w:tcPr>
            <w:tcW w:w="8363" w:type="dxa"/>
            <w:gridSpan w:val="3"/>
          </w:tcPr>
          <w:p w:rsidR="00AC5ECE" w:rsidRPr="004F76F9" w:rsidRDefault="00AC5ECE" w:rsidP="00FD069C">
            <w:pPr>
              <w:jc w:val="both"/>
            </w:pPr>
            <w:r w:rsidRPr="004F76F9">
              <w:rPr>
                <w:bCs/>
              </w:rPr>
              <w:t>Презентувати результати досліджень і розробок державною та іноземною мовами у вигляді заявок на винахід, наукових публікацій, доповідей на науково-технічних заходах</w:t>
            </w:r>
          </w:p>
        </w:tc>
      </w:tr>
      <w:tr w:rsidR="00AC5ECE" w:rsidRPr="004F76F9" w:rsidTr="00FD069C">
        <w:trPr>
          <w:trHeight w:val="20"/>
        </w:trPr>
        <w:tc>
          <w:tcPr>
            <w:tcW w:w="1237" w:type="dxa"/>
            <w:gridSpan w:val="2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379" w:type="dxa"/>
            <w:gridSpan w:val="4"/>
          </w:tcPr>
          <w:p w:rsidR="00AC5ECE" w:rsidRPr="004F76F9" w:rsidRDefault="00AC5ECE" w:rsidP="00FD069C">
            <w:pPr>
              <w:jc w:val="both"/>
              <w:rPr>
                <w:i/>
              </w:rPr>
            </w:pPr>
            <w:bookmarkStart w:id="9" w:name="_Hlk59310076"/>
            <w:r w:rsidRPr="004F76F9">
              <w:rPr>
                <w:i/>
                <w:lang w:eastAsia="uk-UA"/>
              </w:rPr>
              <w:t>Знання принципів розвитку і сучасних проблем створення біосумісних матеріалів в медичній практиці</w:t>
            </w:r>
            <w:bookmarkEnd w:id="9"/>
          </w:p>
        </w:tc>
      </w:tr>
      <w:tr w:rsidR="00AC5ECE" w:rsidRPr="004F76F9" w:rsidTr="00FD069C">
        <w:trPr>
          <w:trHeight w:val="20"/>
        </w:trPr>
        <w:tc>
          <w:tcPr>
            <w:tcW w:w="1237" w:type="dxa"/>
            <w:gridSpan w:val="2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379" w:type="dxa"/>
            <w:gridSpan w:val="4"/>
          </w:tcPr>
          <w:p w:rsidR="00AC5ECE" w:rsidRPr="00CC454A" w:rsidRDefault="00AC5ECE" w:rsidP="00FD069C">
            <w:pPr>
              <w:pStyle w:val="a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CC454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Знання основних положень концепції сталого розвитку, принципів побудови безпечного існування людства з урахуванням економічних, соціальних та екологічних аспектів</w:t>
            </w:r>
          </w:p>
        </w:tc>
      </w:tr>
      <w:tr w:rsidR="00AC5ECE" w:rsidRPr="004F76F9" w:rsidTr="00FD069C">
        <w:trPr>
          <w:trHeight w:val="20"/>
        </w:trPr>
        <w:tc>
          <w:tcPr>
            <w:tcW w:w="9616" w:type="dxa"/>
            <w:gridSpan w:val="6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center"/>
              <w:rPr>
                <w:b/>
              </w:rPr>
            </w:pPr>
            <w:r w:rsidRPr="004F76F9">
              <w:rPr>
                <w:b/>
              </w:rPr>
              <w:t>8 – Ресурсне забезпечення реалізації програми</w:t>
            </w:r>
          </w:p>
        </w:tc>
      </w:tr>
      <w:tr w:rsidR="00AC5ECE" w:rsidRPr="004F76F9" w:rsidTr="00FD069C">
        <w:trPr>
          <w:trHeight w:val="20"/>
        </w:trPr>
        <w:tc>
          <w:tcPr>
            <w:tcW w:w="2354" w:type="dxa"/>
            <w:gridSpan w:val="4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(чинна), в редакції Постанови Кабінету Міністрів України від 10.05.2018 № 347.</w:t>
            </w:r>
          </w:p>
        </w:tc>
      </w:tr>
      <w:tr w:rsidR="00AC5ECE" w:rsidRPr="004F76F9" w:rsidTr="00FD069C">
        <w:trPr>
          <w:gridBefore w:val="1"/>
          <w:trHeight w:val="20"/>
        </w:trPr>
        <w:tc>
          <w:tcPr>
            <w:tcW w:w="235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 1187 (чинна), в редакції Постанови Кабінету Міністрів України від 10.05.2018 № 347.</w:t>
            </w:r>
          </w:p>
        </w:tc>
      </w:tr>
      <w:tr w:rsidR="00AC5ECE" w:rsidRPr="004F76F9" w:rsidTr="00FD069C">
        <w:trPr>
          <w:gridBefore w:val="1"/>
          <w:cantSplit/>
          <w:trHeight w:val="20"/>
        </w:trPr>
        <w:tc>
          <w:tcPr>
            <w:tcW w:w="235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ВО, затверджених Постановою Кабінету Міністрів України від 30.12.2015 р. № 1187 (чинна), в редакції Постанови Кабінету Міністрів України від 10.05.2018 № 347.</w:t>
            </w:r>
          </w:p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Можливість користуватися Науково-технічною бібліотекою імені Григорія Івановича Денисенка Національного технічного університету України «Київський політехнічний інститут імені Ігоря Сікорського».</w:t>
            </w:r>
          </w:p>
        </w:tc>
      </w:tr>
      <w:tr w:rsidR="00AC5ECE" w:rsidRPr="004F76F9" w:rsidTr="00FD069C">
        <w:trPr>
          <w:gridBefore w:val="1"/>
          <w:trHeight w:val="20"/>
        </w:trPr>
        <w:tc>
          <w:tcPr>
            <w:tcW w:w="9616" w:type="dxa"/>
            <w:gridSpan w:val="5"/>
            <w:shd w:val="clear" w:color="auto" w:fill="BFBFBF"/>
          </w:tcPr>
          <w:p w:rsidR="00AC5ECE" w:rsidRPr="004F76F9" w:rsidRDefault="00AC5ECE" w:rsidP="00FD069C">
            <w:pPr>
              <w:keepNext/>
              <w:ind w:right="-74"/>
              <w:jc w:val="center"/>
              <w:rPr>
                <w:b/>
              </w:rPr>
            </w:pPr>
            <w:r w:rsidRPr="004F76F9">
              <w:rPr>
                <w:b/>
              </w:rPr>
              <w:t>9 – Академічна мобільність</w:t>
            </w:r>
          </w:p>
        </w:tc>
      </w:tr>
      <w:tr w:rsidR="00AC5ECE" w:rsidRPr="004F76F9" w:rsidTr="00FD069C">
        <w:trPr>
          <w:gridBefore w:val="1"/>
          <w:trHeight w:val="20"/>
        </w:trPr>
        <w:tc>
          <w:tcPr>
            <w:tcW w:w="235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Можливість укладання угод про академічну мобільність та про подвійне дипломування</w:t>
            </w:r>
          </w:p>
        </w:tc>
      </w:tr>
      <w:tr w:rsidR="00AC5ECE" w:rsidRPr="004F76F9" w:rsidTr="00FD069C">
        <w:trPr>
          <w:gridBefore w:val="1"/>
          <w:trHeight w:val="20"/>
        </w:trPr>
        <w:tc>
          <w:tcPr>
            <w:tcW w:w="235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Можливість укладання угод про міжнародну академічну мобільність (Еразмус+ К1), про подвійне дипломування, про тривалі міжнародні проєкти, які передбачають включене навчання студентів</w:t>
            </w:r>
          </w:p>
        </w:tc>
      </w:tr>
      <w:tr w:rsidR="00AC5ECE" w:rsidRPr="004F76F9" w:rsidTr="00FD069C">
        <w:trPr>
          <w:gridBefore w:val="1"/>
          <w:trHeight w:val="20"/>
        </w:trPr>
        <w:tc>
          <w:tcPr>
            <w:tcW w:w="2354" w:type="dxa"/>
            <w:gridSpan w:val="3"/>
          </w:tcPr>
          <w:p w:rsidR="00AC5ECE" w:rsidRPr="00CC454A" w:rsidRDefault="00AC5ECE" w:rsidP="00FD069C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Навчання іноземних здобувачів </w:t>
            </w:r>
          </w:p>
        </w:tc>
        <w:tc>
          <w:tcPr>
            <w:tcW w:w="7262" w:type="dxa"/>
            <w:gridSpan w:val="2"/>
          </w:tcPr>
          <w:p w:rsidR="00AC5ECE" w:rsidRPr="00CC454A" w:rsidRDefault="00AC5ECE" w:rsidP="00FD069C">
            <w:pPr>
              <w:pStyle w:val="a1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4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Викладання іноземною мовою</w:t>
            </w:r>
          </w:p>
        </w:tc>
      </w:tr>
    </w:tbl>
    <w:p w:rsidR="00AC5ECE" w:rsidRPr="00B568B7" w:rsidRDefault="00AC5ECE" w:rsidP="00B07903">
      <w:pPr>
        <w:rPr>
          <w:sz w:val="28"/>
          <w:szCs w:val="28"/>
        </w:rPr>
      </w:pPr>
    </w:p>
    <w:p w:rsidR="00AC5ECE" w:rsidRPr="00B568B7" w:rsidRDefault="00AC5ECE" w:rsidP="00B07903">
      <w:pPr>
        <w:jc w:val="both"/>
        <w:rPr>
          <w:b/>
          <w:bCs/>
          <w:caps/>
          <w:color w:val="000000"/>
          <w:kern w:val="36"/>
          <w:sz w:val="28"/>
          <w:szCs w:val="28"/>
        </w:rPr>
      </w:pPr>
      <w:r w:rsidRPr="00B568B7">
        <w:rPr>
          <w:b/>
          <w:bCs/>
          <w:caps/>
          <w:color w:val="000000"/>
          <w:kern w:val="36"/>
          <w:sz w:val="28"/>
          <w:szCs w:val="28"/>
        </w:rPr>
        <w:t>2. ПЕРЕЛІК КОМПОНЕНТІВ ОСВІТНЬОЇ ПРОГРАМИ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53"/>
        <w:gridCol w:w="23"/>
        <w:gridCol w:w="5528"/>
        <w:gridCol w:w="38"/>
        <w:gridCol w:w="1206"/>
        <w:gridCol w:w="63"/>
        <w:gridCol w:w="1660"/>
      </w:tblGrid>
      <w:tr w:rsidR="00AC5ECE" w:rsidRPr="001A25EA" w:rsidTr="00FD069C">
        <w:trPr>
          <w:trHeight w:val="20"/>
        </w:trPr>
        <w:tc>
          <w:tcPr>
            <w:tcW w:w="5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Код н/д</w:t>
            </w:r>
          </w:p>
        </w:tc>
        <w:tc>
          <w:tcPr>
            <w:tcW w:w="2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Кількість кредитів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Форма підсумкового контролю</w:t>
            </w:r>
          </w:p>
        </w:tc>
      </w:tr>
      <w:tr w:rsidR="00AC5ECE" w:rsidRPr="001A25EA" w:rsidTr="00FD069C">
        <w:trPr>
          <w:trHeight w:val="20"/>
          <w:tblHeader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C5ECE" w:rsidRPr="001A25EA" w:rsidTr="00FD06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</w:rPr>
              <w:t>1. Нормативні освітні компоненти</w:t>
            </w:r>
          </w:p>
        </w:tc>
      </w:tr>
      <w:tr w:rsidR="00AC5ECE" w:rsidRPr="001A25EA" w:rsidTr="00FD06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i/>
                <w:iCs/>
                <w:color w:val="000000"/>
              </w:rPr>
              <w:t>Загальна підготовка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ЗО 1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 xml:space="preserve">Інтелектуальна власність та патентознавство в біобезпеці та </w:t>
            </w:r>
            <w:r>
              <w:rPr>
                <w:color w:val="000000"/>
              </w:rPr>
              <w:t>біозахисті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ЗО 2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Сталий інноваційний розвиток в контексті біобезпек</w:t>
            </w:r>
            <w:r>
              <w:rPr>
                <w:color w:val="000000"/>
              </w:rPr>
              <w:t>и та біозахисту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ЗО 3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Практичний курс іншомовного ділового спілкування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5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ЗО 4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>
              <w:rPr>
                <w:color w:val="000000"/>
              </w:rPr>
              <w:t>Менеджмент</w:t>
            </w:r>
            <w:r w:rsidRPr="001A25EA">
              <w:rPr>
                <w:color w:val="000000"/>
              </w:rPr>
              <w:t xml:space="preserve"> стартап-проєктів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i/>
                <w:iCs/>
                <w:color w:val="000000"/>
              </w:rPr>
              <w:t>Професійна підготовка, у т.ч. науковий (дослідницький) компонент</w:t>
            </w:r>
          </w:p>
        </w:tc>
      </w:tr>
      <w:tr w:rsidR="00AC5ECE" w:rsidRPr="001A25EA" w:rsidTr="00FD069C">
        <w:trPr>
          <w:trHeight w:val="5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 1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Проблемні питання сучасної біобезпеки,біозахисту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 xml:space="preserve"> 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Екзамен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A67EBA">
              <w:rPr>
                <w:color w:val="000000"/>
              </w:rPr>
              <w:t>ПО 2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  <w:szCs w:val="26"/>
              </w:rPr>
              <w:t>Медико-біологічні основи протидії біологічним загрозам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5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 xml:space="preserve">ПО 3    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color w:val="000000"/>
              </w:rPr>
              <w:t>Індивідуальні та колективні засоби біологічного захисту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 xml:space="preserve"> 3  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ПО4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 xml:space="preserve">Належна інженерна практика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 xml:space="preserve"> 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 5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Курсов</w:t>
            </w:r>
            <w:r>
              <w:rPr>
                <w:color w:val="000000"/>
              </w:rPr>
              <w:t>аробота</w:t>
            </w:r>
            <w:r w:rsidRPr="001A25EA">
              <w:rPr>
                <w:color w:val="000000"/>
              </w:rPr>
              <w:t xml:space="preserve"> з належної інженерної практики   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 xml:space="preserve"> 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 6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Біомолекулярна електроніка в системах біобезпеки та біозахисту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 7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 xml:space="preserve">Інтелектуальні системи </w:t>
            </w:r>
            <w:r>
              <w:rPr>
                <w:color w:val="000000"/>
              </w:rPr>
              <w:t>оцінки біобезпеки</w:t>
            </w:r>
            <w:r w:rsidRPr="001A25EA">
              <w:rPr>
                <w:color w:val="000000"/>
              </w:rPr>
              <w:t xml:space="preserve"> та біо</w:t>
            </w:r>
            <w:r>
              <w:rPr>
                <w:color w:val="000000"/>
              </w:rPr>
              <w:t>загроз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 xml:space="preserve"> 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Екзамен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ПО 8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Наукова робота за темою магістерської дисертації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  <w:lang w:val="en-US"/>
              </w:rPr>
              <w:t>ПО 9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Практика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14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keepNext/>
              <w:keepLines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Робота над магістерською дисертацією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12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Захист</w:t>
            </w:r>
          </w:p>
        </w:tc>
      </w:tr>
      <w:tr w:rsidR="00AC5ECE" w:rsidRPr="001A25EA" w:rsidTr="00FD06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</w:rPr>
              <w:t>2. Вибіркові професійні освітні компоненти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ПВ 1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color w:val="000000"/>
              </w:rPr>
              <w:t xml:space="preserve">Освітній компонент    1 – Ф-Каталог   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  <w:szCs w:val="26"/>
              </w:rPr>
              <w:t>ПВ 2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color w:val="000000"/>
              </w:rPr>
              <w:t xml:space="preserve">Освітній компонент    2 – Ф-Каталог   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  <w:szCs w:val="26"/>
              </w:rPr>
              <w:t>ПВ 3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 xml:space="preserve">Освітній компонент    3 – Ф-Каталог   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lang w:val="en-US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Екзамен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color w:val="000000"/>
                <w:szCs w:val="26"/>
              </w:rPr>
              <w:t>ПВ 4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>Освітній компонент4 – Ф-Каталог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Екзамен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ПВ 5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</w:rPr>
              <w:t xml:space="preserve">Освітній компонент5 – Ф-Каталог   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 w:val="23"/>
                <w:szCs w:val="23"/>
              </w:rPr>
            </w:pPr>
            <w:r w:rsidRPr="001A25E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Екзамен</w:t>
            </w:r>
          </w:p>
        </w:tc>
      </w:tr>
      <w:tr w:rsidR="00AC5ECE" w:rsidRPr="001A25EA" w:rsidTr="00FD069C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</w:rPr>
              <w:t>ПВ 6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color w:val="000000"/>
              </w:rPr>
              <w:t>Освітній компонент    6 – Ф-Каталог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</w:rPr>
            </w:pPr>
            <w:r w:rsidRPr="001A25EA">
              <w:rPr>
                <w:color w:val="000000"/>
                <w:lang w:val="en-US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  <w:szCs w:val="26"/>
              </w:rPr>
            </w:pPr>
            <w:r w:rsidRPr="001A25EA">
              <w:rPr>
                <w:color w:val="000000"/>
              </w:rPr>
              <w:t>Залік</w:t>
            </w:r>
          </w:p>
        </w:tc>
      </w:tr>
      <w:tr w:rsidR="00AC5ECE" w:rsidRPr="001A25EA" w:rsidTr="00FD069C">
        <w:trPr>
          <w:trHeight w:val="20"/>
        </w:trPr>
        <w:tc>
          <w:tcPr>
            <w:tcW w:w="3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right"/>
              <w:rPr>
                <w:color w:val="000000"/>
              </w:rPr>
            </w:pPr>
            <w:r w:rsidRPr="001A25EA">
              <w:rPr>
                <w:color w:val="000000"/>
              </w:rPr>
              <w:t>Загальний обсяг обов’язкових компонентів: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</w:rPr>
              <w:t>64,0 (71,1%)</w:t>
            </w:r>
          </w:p>
        </w:tc>
      </w:tr>
      <w:tr w:rsidR="00AC5ECE" w:rsidRPr="001A25EA" w:rsidTr="00FD069C">
        <w:trPr>
          <w:trHeight w:val="20"/>
        </w:trPr>
        <w:tc>
          <w:tcPr>
            <w:tcW w:w="3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right"/>
              <w:rPr>
                <w:color w:val="000000"/>
              </w:rPr>
            </w:pPr>
            <w:r w:rsidRPr="001A25EA">
              <w:rPr>
                <w:color w:val="000000"/>
              </w:rPr>
              <w:t>Загальний обсяг вибіркових компонентів: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  <w:lang w:val="en-US"/>
              </w:rPr>
              <w:t>2</w:t>
            </w:r>
            <w:r w:rsidRPr="001A25EA">
              <w:rPr>
                <w:b/>
                <w:bCs/>
                <w:color w:val="000000"/>
              </w:rPr>
              <w:t>6</w:t>
            </w:r>
            <w:r w:rsidRPr="001A25EA">
              <w:rPr>
                <w:b/>
                <w:bCs/>
                <w:color w:val="000000"/>
                <w:lang w:val="en-US"/>
              </w:rPr>
              <w:t>,</w:t>
            </w:r>
            <w:r w:rsidRPr="001A25EA">
              <w:rPr>
                <w:b/>
                <w:bCs/>
                <w:color w:val="000000"/>
              </w:rPr>
              <w:t>0</w:t>
            </w:r>
            <w:r w:rsidRPr="001A25EA">
              <w:rPr>
                <w:b/>
                <w:bCs/>
                <w:color w:val="000000"/>
                <w:lang w:val="en-US"/>
              </w:rPr>
              <w:t xml:space="preserve"> (28,9%)</w:t>
            </w:r>
          </w:p>
        </w:tc>
      </w:tr>
      <w:tr w:rsidR="00AC5ECE" w:rsidRPr="001A25EA" w:rsidTr="00FD069C">
        <w:trPr>
          <w:trHeight w:val="20"/>
        </w:trPr>
        <w:tc>
          <w:tcPr>
            <w:tcW w:w="3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right"/>
              <w:rPr>
                <w:color w:val="000000"/>
              </w:rPr>
            </w:pPr>
            <w:r w:rsidRPr="001A25EA">
              <w:rPr>
                <w:color w:val="000000"/>
              </w:rPr>
              <w:t>Обсяг освітніх компонентів, що забезпечують здобуття компетентностей, визначених СВО: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4</w:t>
            </w:r>
            <w:r w:rsidRPr="001A25E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Pr="001A25EA">
              <w:rPr>
                <w:b/>
                <w:bCs/>
                <w:color w:val="000000"/>
              </w:rPr>
              <w:t xml:space="preserve"> (71</w:t>
            </w:r>
            <w:r w:rsidRPr="001A25EA">
              <w:rPr>
                <w:b/>
                <w:bCs/>
                <w:color w:val="000000"/>
                <w:lang w:val="en-US"/>
              </w:rPr>
              <w:t>,1</w:t>
            </w:r>
            <w:r w:rsidRPr="001A25EA">
              <w:rPr>
                <w:b/>
                <w:bCs/>
                <w:color w:val="000000"/>
              </w:rPr>
              <w:t>%)</w:t>
            </w:r>
          </w:p>
        </w:tc>
      </w:tr>
      <w:tr w:rsidR="00AC5ECE" w:rsidRPr="001A25EA" w:rsidTr="00FD069C">
        <w:trPr>
          <w:trHeight w:val="20"/>
        </w:trPr>
        <w:tc>
          <w:tcPr>
            <w:tcW w:w="3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rPr>
                <w:color w:val="000000"/>
              </w:rPr>
            </w:pPr>
            <w:r w:rsidRPr="001A25EA">
              <w:rPr>
                <w:b/>
                <w:bCs/>
                <w:color w:val="000000"/>
              </w:rPr>
              <w:t>ЗАГАЛЬНИЙ ОБСЯГ ОСВІТНЬОЇ ПРОГРАМИ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E" w:rsidRPr="001A25EA" w:rsidRDefault="00AC5ECE" w:rsidP="00FD069C">
            <w:pPr>
              <w:jc w:val="center"/>
              <w:rPr>
                <w:color w:val="000000"/>
                <w:szCs w:val="26"/>
              </w:rPr>
            </w:pPr>
            <w:r w:rsidRPr="001A25EA">
              <w:rPr>
                <w:b/>
                <w:bCs/>
                <w:color w:val="000000"/>
                <w:szCs w:val="26"/>
              </w:rPr>
              <w:t>90</w:t>
            </w:r>
          </w:p>
        </w:tc>
      </w:tr>
    </w:tbl>
    <w:p w:rsidR="00AC5ECE" w:rsidRPr="00B568B7" w:rsidRDefault="00AC5ECE" w:rsidP="00B07903">
      <w:pPr>
        <w:rPr>
          <w:sz w:val="28"/>
          <w:szCs w:val="28"/>
          <w:lang w:eastAsia="en-US"/>
        </w:rPr>
      </w:pPr>
    </w:p>
    <w:p w:rsidR="00AC5ECE" w:rsidRPr="00B568B7" w:rsidRDefault="00AC5ECE" w:rsidP="00B07903">
      <w:pPr>
        <w:rPr>
          <w:sz w:val="28"/>
          <w:szCs w:val="28"/>
          <w:lang w:eastAsia="en-US"/>
        </w:rPr>
      </w:pPr>
    </w:p>
    <w:p w:rsidR="00AC5ECE" w:rsidRPr="00294A66" w:rsidRDefault="00AC5ECE" w:rsidP="00B07903">
      <w:pPr>
        <w:rPr>
          <w:rFonts w:ascii="Cambria" w:hAnsi="Cambria"/>
          <w:b/>
          <w:bCs/>
          <w:iCs/>
          <w:caps/>
          <w:sz w:val="28"/>
          <w:szCs w:val="28"/>
          <w:lang w:eastAsia="en-US"/>
        </w:rPr>
      </w:pPr>
      <w:r w:rsidRPr="00B568B7">
        <w:rPr>
          <w:b/>
          <w:sz w:val="28"/>
          <w:szCs w:val="28"/>
        </w:rPr>
        <w:t>3. Структурно-логічна схема освітньої програми</w:t>
      </w:r>
    </w:p>
    <w:p w:rsidR="00AC5ECE" w:rsidRPr="00B568B7" w:rsidRDefault="00AC5ECE" w:rsidP="00B07903">
      <w:pPr>
        <w:ind w:firstLine="709"/>
        <w:rPr>
          <w:sz w:val="28"/>
          <w:szCs w:val="28"/>
        </w:rPr>
      </w:pPr>
    </w:p>
    <w:p w:rsidR="00AC5ECE" w:rsidRPr="00B568B7" w:rsidRDefault="00AC5ECE" w:rsidP="00B07903">
      <w:pPr>
        <w:rPr>
          <w:sz w:val="28"/>
          <w:szCs w:val="28"/>
          <w:lang w:eastAsia="en-US"/>
        </w:rPr>
      </w:pPr>
      <w:r>
        <w:object w:dxaOrig="17251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166.5pt" o:ole="">
            <v:imagedata r:id="rId7" o:title=""/>
          </v:shape>
          <o:OLEObject Type="Embed" ProgID="Visio.Drawing.15" ShapeID="_x0000_i1025" DrawAspect="Content" ObjectID="_1731861966" r:id="rId8"/>
        </w:object>
      </w:r>
    </w:p>
    <w:p w:rsidR="00AC5ECE" w:rsidRPr="00B568B7" w:rsidRDefault="00AC5ECE" w:rsidP="00B07903">
      <w:pPr>
        <w:rPr>
          <w:sz w:val="28"/>
          <w:szCs w:val="28"/>
        </w:rPr>
      </w:pPr>
    </w:p>
    <w:p w:rsidR="00AC5ECE" w:rsidRPr="00B568B7" w:rsidRDefault="00AC5ECE" w:rsidP="00B07903">
      <w:pPr>
        <w:rPr>
          <w:sz w:val="28"/>
          <w:szCs w:val="28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4. Форма атестації здобувачів вищої освіти</w:t>
      </w:r>
    </w:p>
    <w:p w:rsidR="00AC5ECE" w:rsidRPr="00637D93" w:rsidRDefault="00AC5ECE" w:rsidP="00B07903">
      <w:pPr>
        <w:pStyle w:val="121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7D93">
        <w:rPr>
          <w:rStyle w:val="12TimesNewRoman"/>
          <w:sz w:val="28"/>
          <w:szCs w:val="28"/>
          <w:lang w:val="uk-UA"/>
        </w:rPr>
        <w:t xml:space="preserve">Атестація здобувачів вищої освіти за освітньо-професійною програмою «Біобезпека та біозахист» проводиться у формі захисту кваліфікаційної роботи та завершується видачею документа встановленого зразка про присудження йому ступеня магістр з присвоєнням кваліфікації: </w:t>
      </w:r>
      <w:r w:rsidRPr="00637D93">
        <w:rPr>
          <w:rStyle w:val="12TimesNewRoman"/>
          <w:i/>
          <w:sz w:val="28"/>
          <w:szCs w:val="28"/>
          <w:lang w:val="uk-UA"/>
        </w:rPr>
        <w:t>магістр з біомедичної інженерії</w:t>
      </w:r>
      <w:r w:rsidRPr="00637D93">
        <w:rPr>
          <w:rStyle w:val="12TimesNewRoman"/>
          <w:sz w:val="28"/>
          <w:szCs w:val="28"/>
          <w:lang w:val="uk-UA"/>
        </w:rPr>
        <w:t xml:space="preserve"> за освітньо-професійною програмою «Біобезпека та біозахист».</w:t>
      </w:r>
    </w:p>
    <w:p w:rsidR="00AC5ECE" w:rsidRPr="00637D93" w:rsidRDefault="00AC5ECE" w:rsidP="00B07903">
      <w:pPr>
        <w:pStyle w:val="121"/>
        <w:spacing w:line="240" w:lineRule="auto"/>
        <w:ind w:firstLine="567"/>
        <w:jc w:val="both"/>
        <w:rPr>
          <w:rStyle w:val="12TimesNewRoman"/>
          <w:color w:val="000000"/>
          <w:sz w:val="28"/>
          <w:szCs w:val="28"/>
          <w:lang w:val="uk-UA"/>
        </w:rPr>
      </w:pPr>
      <w:r w:rsidRPr="00637D93">
        <w:rPr>
          <w:rStyle w:val="12TimesNewRoman"/>
          <w:color w:val="000000"/>
          <w:sz w:val="28"/>
          <w:szCs w:val="28"/>
          <w:lang w:val="uk-UA"/>
        </w:rPr>
        <w:t>Кваліфікаційна робота здобувача не повинна містити академічного плагіату, фальсифікації, фабрикації.</w:t>
      </w:r>
    </w:p>
    <w:p w:rsidR="00AC5ECE" w:rsidRPr="00637D93" w:rsidRDefault="00AC5ECE" w:rsidP="00B07903">
      <w:pPr>
        <w:pStyle w:val="121"/>
        <w:spacing w:line="240" w:lineRule="auto"/>
        <w:ind w:firstLine="567"/>
        <w:jc w:val="both"/>
        <w:rPr>
          <w:rStyle w:val="12TimesNewRoman"/>
          <w:color w:val="000000"/>
          <w:sz w:val="28"/>
          <w:szCs w:val="28"/>
          <w:lang w:val="uk-UA"/>
        </w:rPr>
      </w:pPr>
      <w:r w:rsidRPr="00637D93">
        <w:rPr>
          <w:rStyle w:val="12TimesNewRoman"/>
          <w:color w:val="000000"/>
          <w:sz w:val="28"/>
          <w:szCs w:val="28"/>
          <w:lang w:val="uk-UA"/>
        </w:rPr>
        <w:t>Кваліфікаційна робота здобувача має бути розміщені на сайті закладу вищої освіти, а також в репозитарії Науково-технічної бібліотеки імені Григорія Івановича Денисенка Національного технічного університету України «Київський політехнічний інститут імені Ігоря Сікорського» для вільного доступу.</w:t>
      </w:r>
    </w:p>
    <w:p w:rsidR="00AC5ECE" w:rsidRPr="00B568B7" w:rsidRDefault="00AC5ECE" w:rsidP="00B07903">
      <w:pPr>
        <w:pStyle w:val="121"/>
        <w:spacing w:line="240" w:lineRule="auto"/>
        <w:ind w:firstLine="567"/>
        <w:jc w:val="both"/>
        <w:rPr>
          <w:rStyle w:val="12TimesNewRoman"/>
          <w:color w:val="000000"/>
          <w:sz w:val="28"/>
          <w:szCs w:val="28"/>
        </w:rPr>
      </w:pPr>
      <w:r w:rsidRPr="00B568B7">
        <w:rPr>
          <w:rStyle w:val="12TimesNewRoman"/>
          <w:color w:val="000000"/>
          <w:sz w:val="28"/>
          <w:szCs w:val="28"/>
        </w:rPr>
        <w:t>Кваліфікаційна робота здобувача має відповідати іншим вимогам, встановленим законодавством.</w:t>
      </w:r>
    </w:p>
    <w:p w:rsidR="00AC5ECE" w:rsidRPr="00B568B7" w:rsidRDefault="00AC5ECE" w:rsidP="00B07903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"/>
          <w:sz w:val="28"/>
          <w:szCs w:val="28"/>
        </w:rPr>
      </w:pPr>
      <w:r w:rsidRPr="00B568B7">
        <w:rPr>
          <w:rStyle w:val="12TimesNewRoman"/>
          <w:sz w:val="28"/>
          <w:szCs w:val="28"/>
        </w:rPr>
        <w:t>Атестація здійснюється відкрито і публічно.</w:t>
      </w:r>
    </w:p>
    <w:p w:rsidR="00AC5ECE" w:rsidRDefault="00AC5ECE" w:rsidP="00B07903">
      <w:pPr>
        <w:rPr>
          <w:b/>
          <w:sz w:val="28"/>
          <w:szCs w:val="28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  <w:r w:rsidRPr="00B568B7">
        <w:rPr>
          <w:b/>
          <w:sz w:val="28"/>
          <w:szCs w:val="28"/>
        </w:rPr>
        <w:t>5. Матриця відповідності програмних компетентностей компонентам освітньої програми</w:t>
      </w:r>
    </w:p>
    <w:p w:rsidR="00AC5ECE" w:rsidRPr="00B568B7" w:rsidRDefault="00AC5ECE" w:rsidP="00B07903">
      <w:pPr>
        <w:rPr>
          <w:sz w:val="28"/>
          <w:szCs w:val="28"/>
        </w:rPr>
      </w:pPr>
      <w:r w:rsidRPr="00B568B7">
        <w:rPr>
          <w:sz w:val="28"/>
          <w:szCs w:val="28"/>
        </w:rPr>
        <w:t>Матриця відповідності програмних компетентностей компонентам освітньої програми: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62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C5ECE" w:rsidRPr="00B568B7" w:rsidTr="00FD069C">
        <w:trPr>
          <w:cantSplit/>
          <w:trHeight w:val="1134"/>
        </w:trPr>
        <w:tc>
          <w:tcPr>
            <w:tcW w:w="761" w:type="pct"/>
            <w:noWrap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1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2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3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4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1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2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3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4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5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6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7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8</w:t>
            </w:r>
          </w:p>
        </w:tc>
        <w:tc>
          <w:tcPr>
            <w:tcW w:w="326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9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1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2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3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4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5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6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ЗК 7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1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2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3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4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5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6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7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8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761" w:type="pct"/>
            <w:vAlign w:val="center"/>
          </w:tcPr>
          <w:p w:rsidR="00AC5ECE" w:rsidRPr="00B568B7" w:rsidRDefault="00AC5ECE" w:rsidP="00FD069C">
            <w:pPr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ФК 9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26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B7"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:rsidR="00AC5ECE" w:rsidRPr="00B568B7" w:rsidRDefault="00AC5ECE" w:rsidP="00B07903">
      <w:pPr>
        <w:rPr>
          <w:sz w:val="28"/>
          <w:szCs w:val="28"/>
        </w:rPr>
      </w:pPr>
    </w:p>
    <w:p w:rsidR="00AC5ECE" w:rsidRPr="00B568B7" w:rsidRDefault="00AC5ECE" w:rsidP="00B07903">
      <w:pPr>
        <w:rPr>
          <w:sz w:val="28"/>
          <w:szCs w:val="28"/>
          <w:lang w:eastAsia="en-US"/>
        </w:rPr>
      </w:pPr>
    </w:p>
    <w:p w:rsidR="00AC5ECE" w:rsidRPr="00B568B7" w:rsidRDefault="00AC5ECE" w:rsidP="00B07903">
      <w:pPr>
        <w:rPr>
          <w:b/>
          <w:sz w:val="28"/>
          <w:szCs w:val="28"/>
        </w:rPr>
      </w:pPr>
      <w:r w:rsidRPr="00B568B7">
        <w:rPr>
          <w:b/>
          <w:color w:val="000000"/>
          <w:sz w:val="28"/>
          <w:szCs w:val="28"/>
        </w:rPr>
        <w:br w:type="page"/>
      </w:r>
      <w:r w:rsidRPr="00B568B7">
        <w:rPr>
          <w:b/>
          <w:sz w:val="28"/>
          <w:szCs w:val="28"/>
        </w:rPr>
        <w:t>6. Матриця забезпечення програмних результатів навчання відповідними компонентами освітньої програми</w:t>
      </w:r>
    </w:p>
    <w:p w:rsidR="00AC5ECE" w:rsidRPr="00B568B7" w:rsidRDefault="00AC5ECE" w:rsidP="00B07903">
      <w:pPr>
        <w:rPr>
          <w:sz w:val="28"/>
          <w:szCs w:val="28"/>
          <w:lang w:eastAsia="en-US"/>
        </w:rPr>
      </w:pPr>
      <w:r w:rsidRPr="00B568B7">
        <w:rPr>
          <w:sz w:val="28"/>
          <w:szCs w:val="28"/>
        </w:rPr>
        <w:t>Матриця забезпечення програмних результатів навчання відповідними компонентами освітньої програми: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2"/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AC5ECE" w:rsidRPr="00B568B7" w:rsidTr="00FD069C">
        <w:trPr>
          <w:trHeight w:val="1054"/>
        </w:trPr>
        <w:tc>
          <w:tcPr>
            <w:tcW w:w="617" w:type="pct"/>
            <w:noWrap/>
            <w:vAlign w:val="center"/>
          </w:tcPr>
          <w:p w:rsidR="00AC5ECE" w:rsidRPr="00B568B7" w:rsidRDefault="00AC5ECE" w:rsidP="00FD069C">
            <w:pPr>
              <w:rPr>
                <w:color w:val="FFFFFF"/>
                <w:sz w:val="28"/>
                <w:szCs w:val="28"/>
              </w:rPr>
            </w:pPr>
            <w:r w:rsidRPr="00B568B7">
              <w:rPr>
                <w:color w:val="FFFFFF"/>
                <w:sz w:val="28"/>
                <w:szCs w:val="28"/>
              </w:rPr>
              <w:t>00000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1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2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3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ЗО 4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1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2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3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4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5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6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7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8</w:t>
            </w:r>
          </w:p>
        </w:tc>
        <w:tc>
          <w:tcPr>
            <w:tcW w:w="337" w:type="pct"/>
            <w:textDirection w:val="btLr"/>
            <w:vAlign w:val="center"/>
          </w:tcPr>
          <w:p w:rsidR="00AC5ECE" w:rsidRPr="00B568B7" w:rsidRDefault="00AC5ECE" w:rsidP="00FD0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ПО 9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2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3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4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5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6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7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8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9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10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11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12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13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  <w:tr w:rsidR="00AC5ECE" w:rsidRPr="00B568B7" w:rsidTr="00FD069C">
        <w:trPr>
          <w:trHeight w:val="270"/>
        </w:trPr>
        <w:tc>
          <w:tcPr>
            <w:tcW w:w="617" w:type="pct"/>
            <w:vAlign w:val="center"/>
          </w:tcPr>
          <w:p w:rsidR="00AC5ECE" w:rsidRPr="00B568B7" w:rsidRDefault="00AC5ECE" w:rsidP="00FD069C">
            <w:pPr>
              <w:rPr>
                <w:sz w:val="28"/>
                <w:szCs w:val="28"/>
              </w:rPr>
            </w:pPr>
            <w:r w:rsidRPr="00B568B7">
              <w:rPr>
                <w:sz w:val="28"/>
                <w:szCs w:val="28"/>
              </w:rPr>
              <w:t>ПРН 14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noWrap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vAlign w:val="center"/>
          </w:tcPr>
          <w:p w:rsidR="00AC5ECE" w:rsidRPr="00B568B7" w:rsidRDefault="00AC5ECE" w:rsidP="00FD069C">
            <w:pPr>
              <w:jc w:val="center"/>
              <w:rPr>
                <w:b/>
                <w:sz w:val="28"/>
                <w:szCs w:val="28"/>
              </w:rPr>
            </w:pPr>
            <w:r w:rsidRPr="00B568B7">
              <w:rPr>
                <w:b/>
                <w:sz w:val="28"/>
                <w:szCs w:val="28"/>
              </w:rPr>
              <w:t>+</w:t>
            </w:r>
          </w:p>
        </w:tc>
      </w:tr>
    </w:tbl>
    <w:p w:rsidR="00AC5ECE" w:rsidRPr="00B568B7" w:rsidRDefault="00AC5ECE" w:rsidP="00B07903">
      <w:pPr>
        <w:jc w:val="center"/>
        <w:rPr>
          <w:rFonts w:ascii="Cambria" w:hAnsi="Cambria"/>
          <w:b/>
          <w:sz w:val="28"/>
          <w:szCs w:val="28"/>
        </w:rPr>
      </w:pPr>
    </w:p>
    <w:sectPr w:rsidR="00AC5ECE" w:rsidRPr="00B568B7" w:rsidSect="0096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CE" w:rsidRDefault="00AC5ECE" w:rsidP="00B07903">
      <w:r>
        <w:separator/>
      </w:r>
    </w:p>
  </w:endnote>
  <w:endnote w:type="continuationSeparator" w:id="0">
    <w:p w:rsidR="00AC5ECE" w:rsidRDefault="00AC5ECE" w:rsidP="00B0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CE" w:rsidRDefault="00AC5ECE" w:rsidP="00B07903">
      <w:r>
        <w:separator/>
      </w:r>
    </w:p>
  </w:footnote>
  <w:footnote w:type="continuationSeparator" w:id="0">
    <w:p w:rsidR="00AC5ECE" w:rsidRDefault="00AC5ECE" w:rsidP="00B07903">
      <w:r>
        <w:continuationSeparator/>
      </w:r>
    </w:p>
  </w:footnote>
  <w:footnote w:id="1">
    <w:p w:rsidR="00AC5ECE" w:rsidRPr="00F60AB5" w:rsidRDefault="00AC5ECE" w:rsidP="00B07903">
      <w:pPr>
        <w:pStyle w:val="FootnoteText"/>
        <w:spacing w:line="240" w:lineRule="auto"/>
        <w:ind w:firstLine="0"/>
        <w:rPr>
          <w:sz w:val="22"/>
          <w:szCs w:val="22"/>
        </w:rPr>
      </w:pPr>
      <w:r>
        <w:rPr>
          <w:rStyle w:val="FootnoteReference"/>
        </w:rPr>
        <w:footnoteRef/>
      </w:r>
      <w:r w:rsidRPr="00F60AB5">
        <w:rPr>
          <w:sz w:val="22"/>
          <w:szCs w:val="22"/>
        </w:rPr>
        <w:t>Компетентності та програмні результати навчання, що визначені стандартом вищої освіти, затвердженим наказом МОН України від 19.11.2018р. № 1264.</w:t>
      </w:r>
    </w:p>
    <w:p w:rsidR="00AC5ECE" w:rsidRDefault="00AC5ECE" w:rsidP="00B07903">
      <w:pPr>
        <w:pStyle w:val="FootnoteText"/>
        <w:ind w:firstLine="0"/>
      </w:pPr>
      <w:r w:rsidRPr="00F60AB5">
        <w:rPr>
          <w:sz w:val="22"/>
          <w:szCs w:val="22"/>
          <w:shd w:val="clear" w:color="auto" w:fill="FFFFFF"/>
        </w:rPr>
        <w:t xml:space="preserve">Компетентності та програмні результати навчання, що відрізняються від таких, що визначені стандартом вищої освіти, затвердженим наказом </w:t>
      </w:r>
      <w:r>
        <w:rPr>
          <w:sz w:val="22"/>
          <w:szCs w:val="22"/>
          <w:shd w:val="clear" w:color="auto" w:fill="FFFFFF"/>
        </w:rPr>
        <w:t xml:space="preserve">МОН України від 19.11.2018 р. № </w:t>
      </w:r>
      <w:r w:rsidRPr="00F60AB5">
        <w:rPr>
          <w:sz w:val="22"/>
          <w:szCs w:val="22"/>
          <w:shd w:val="clear" w:color="auto" w:fill="FFFFFF"/>
        </w:rPr>
        <w:t>1264, виділені</w:t>
      </w:r>
      <w:r w:rsidRPr="00637D93">
        <w:rPr>
          <w:sz w:val="22"/>
          <w:szCs w:val="22"/>
          <w:shd w:val="clear" w:color="auto" w:fill="FFFFFF"/>
        </w:rPr>
        <w:t xml:space="preserve"> </w:t>
      </w:r>
      <w:r w:rsidRPr="00F60AB5">
        <w:rPr>
          <w:i/>
          <w:iCs/>
          <w:sz w:val="22"/>
          <w:szCs w:val="22"/>
          <w:shd w:val="clear" w:color="auto" w:fill="FFFFFF"/>
        </w:rPr>
        <w:t>курсивом</w:t>
      </w:r>
      <w:r w:rsidRPr="00F60AB5">
        <w:rPr>
          <w:sz w:val="22"/>
          <w:szCs w:val="22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702D"/>
    <w:multiLevelType w:val="hybridMultilevel"/>
    <w:tmpl w:val="6B16B27C"/>
    <w:lvl w:ilvl="0" w:tplc="C29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E1548"/>
    <w:multiLevelType w:val="hybridMultilevel"/>
    <w:tmpl w:val="311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03"/>
    <w:rsid w:val="00050B71"/>
    <w:rsid w:val="000C0F88"/>
    <w:rsid w:val="001A25EA"/>
    <w:rsid w:val="00294A66"/>
    <w:rsid w:val="002A3BEE"/>
    <w:rsid w:val="002C1E7E"/>
    <w:rsid w:val="003740AA"/>
    <w:rsid w:val="004C62A4"/>
    <w:rsid w:val="004F76F9"/>
    <w:rsid w:val="00507002"/>
    <w:rsid w:val="0058394E"/>
    <w:rsid w:val="00592042"/>
    <w:rsid w:val="00637D93"/>
    <w:rsid w:val="00643F04"/>
    <w:rsid w:val="006A6FEE"/>
    <w:rsid w:val="006F379A"/>
    <w:rsid w:val="00707D71"/>
    <w:rsid w:val="008B6AC8"/>
    <w:rsid w:val="0090488F"/>
    <w:rsid w:val="0096686B"/>
    <w:rsid w:val="0099250D"/>
    <w:rsid w:val="00A67EBA"/>
    <w:rsid w:val="00A87254"/>
    <w:rsid w:val="00A927AA"/>
    <w:rsid w:val="00AC5ECE"/>
    <w:rsid w:val="00B07903"/>
    <w:rsid w:val="00B568B7"/>
    <w:rsid w:val="00BC09E7"/>
    <w:rsid w:val="00C73B93"/>
    <w:rsid w:val="00CC454A"/>
    <w:rsid w:val="00CD27E5"/>
    <w:rsid w:val="00D60047"/>
    <w:rsid w:val="00D67E2B"/>
    <w:rsid w:val="00DA61AF"/>
    <w:rsid w:val="00DC41A3"/>
    <w:rsid w:val="00E625A9"/>
    <w:rsid w:val="00E65D70"/>
    <w:rsid w:val="00F60AB5"/>
    <w:rsid w:val="00FB67B1"/>
    <w:rsid w:val="00FD069C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07903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9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9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90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903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9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7903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B07903"/>
    <w:pPr>
      <w:widowControl w:val="0"/>
      <w:autoSpaceDE w:val="0"/>
      <w:autoSpaceDN w:val="0"/>
      <w:adjustRightInd w:val="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7903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9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90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79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079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7903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07903"/>
    <w:pPr>
      <w:jc w:val="center"/>
    </w:pPr>
    <w:rPr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903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B079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79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B07903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1">
    <w:name w:val="FR1"/>
    <w:uiPriority w:val="99"/>
    <w:rsid w:val="00B07903"/>
    <w:pPr>
      <w:widowControl w:val="0"/>
      <w:spacing w:line="260" w:lineRule="auto"/>
      <w:jc w:val="both"/>
    </w:pPr>
    <w:rPr>
      <w:rFonts w:ascii="Arial" w:eastAsia="Times New Roman" w:hAnsi="Arial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B0790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7903"/>
    <w:rPr>
      <w:rFonts w:ascii="Courier New" w:hAnsi="Courier New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079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7903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07903"/>
    <w:pPr>
      <w:autoSpaceDE w:val="0"/>
      <w:autoSpaceDN w:val="0"/>
      <w:spacing w:before="100" w:after="100"/>
    </w:pPr>
    <w:rPr>
      <w:sz w:val="20"/>
    </w:rPr>
  </w:style>
  <w:style w:type="paragraph" w:styleId="Header">
    <w:name w:val="header"/>
    <w:basedOn w:val="Normal"/>
    <w:link w:val="HeaderChar"/>
    <w:uiPriority w:val="99"/>
    <w:rsid w:val="00B079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90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79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90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7903"/>
    <w:rPr>
      <w:rFonts w:cs="Times New Roman"/>
      <w:color w:val="0563C1"/>
      <w:u w:val="single"/>
    </w:rPr>
  </w:style>
  <w:style w:type="paragraph" w:customStyle="1" w:styleId="10">
    <w:name w:val="Абзац списка1"/>
    <w:basedOn w:val="Normal"/>
    <w:uiPriority w:val="99"/>
    <w:rsid w:val="00B0790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07903"/>
    <w:rPr>
      <w:rFonts w:ascii="Segoe UI" w:hAnsi="Segoe UI" w:cs="Segoe UI"/>
      <w:sz w:val="18"/>
      <w:szCs w:val="18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903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uiPriority w:val="99"/>
    <w:rsid w:val="00B0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903"/>
    <w:rPr>
      <w:rFonts w:cs="Times New Roman"/>
      <w:color w:val="800080"/>
      <w:u w:val="single"/>
    </w:rPr>
  </w:style>
  <w:style w:type="character" w:customStyle="1" w:styleId="11">
    <w:name w:val="Неразрешенное упоминание1"/>
    <w:uiPriority w:val="99"/>
    <w:semiHidden/>
    <w:rsid w:val="00B0790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99"/>
    <w:qFormat/>
    <w:rsid w:val="00B0790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07903"/>
    <w:rPr>
      <w:rFonts w:ascii="Calibri Light" w:hAnsi="Calibri Light" w:cs="Times New Roman"/>
      <w:b/>
      <w:bCs/>
      <w:kern w:val="28"/>
      <w:sz w:val="32"/>
      <w:szCs w:val="32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B0790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99"/>
    <w:rsid w:val="00B07903"/>
  </w:style>
  <w:style w:type="paragraph" w:styleId="TOC2">
    <w:name w:val="toc 2"/>
    <w:basedOn w:val="Normal"/>
    <w:next w:val="Normal"/>
    <w:autoRedefine/>
    <w:uiPriority w:val="99"/>
    <w:rsid w:val="00B07903"/>
    <w:pPr>
      <w:tabs>
        <w:tab w:val="right" w:leader="dot" w:pos="9912"/>
      </w:tabs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99"/>
    <w:rsid w:val="00B07903"/>
    <w:pPr>
      <w:tabs>
        <w:tab w:val="right" w:leader="dot" w:pos="9912"/>
      </w:tabs>
      <w:spacing w:line="360" w:lineRule="auto"/>
      <w:ind w:left="284"/>
    </w:pPr>
  </w:style>
  <w:style w:type="character" w:customStyle="1" w:styleId="a">
    <w:name w:val="Основной текст_"/>
    <w:basedOn w:val="DefaultParagraphFont"/>
    <w:link w:val="12"/>
    <w:uiPriority w:val="99"/>
    <w:locked/>
    <w:rsid w:val="00B07903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B07903"/>
    <w:pPr>
      <w:widowControl w:val="0"/>
      <w:shd w:val="clear" w:color="auto" w:fill="FFFFFF"/>
      <w:spacing w:line="360" w:lineRule="auto"/>
      <w:ind w:firstLine="400"/>
    </w:pPr>
    <w:rPr>
      <w:rFonts w:ascii="Calibri" w:eastAsia="Calibri" w:hAnsi="Calibri"/>
      <w:sz w:val="28"/>
      <w:szCs w:val="28"/>
      <w:lang w:eastAsia="en-US"/>
    </w:rPr>
  </w:style>
  <w:style w:type="character" w:customStyle="1" w:styleId="a0">
    <w:name w:val="Основний текст_"/>
    <w:link w:val="a1"/>
    <w:uiPriority w:val="99"/>
    <w:locked/>
    <w:rsid w:val="00B07903"/>
    <w:rPr>
      <w:sz w:val="23"/>
      <w:shd w:val="clear" w:color="auto" w:fill="FFFFFF"/>
    </w:rPr>
  </w:style>
  <w:style w:type="paragraph" w:customStyle="1" w:styleId="a1">
    <w:name w:val="Основний текст"/>
    <w:basedOn w:val="Normal"/>
    <w:link w:val="a0"/>
    <w:uiPriority w:val="99"/>
    <w:rsid w:val="00B07903"/>
    <w:pPr>
      <w:shd w:val="clear" w:color="auto" w:fill="FFFFFF"/>
      <w:spacing w:after="900" w:line="274" w:lineRule="exact"/>
    </w:pPr>
    <w:rPr>
      <w:rFonts w:ascii="Calibri" w:eastAsia="Calibri" w:hAnsi="Calibri"/>
      <w:sz w:val="23"/>
      <w:szCs w:val="20"/>
      <w:shd w:val="clear" w:color="auto" w:fill="FFFFFF"/>
      <w:lang w:val="ru-RU" w:eastAsia="ko-KR"/>
    </w:rPr>
  </w:style>
  <w:style w:type="paragraph" w:styleId="EndnoteText">
    <w:name w:val="endnote text"/>
    <w:basedOn w:val="Normal"/>
    <w:link w:val="EndnoteTextChar"/>
    <w:uiPriority w:val="99"/>
    <w:rsid w:val="00B07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0790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B07903"/>
    <w:rPr>
      <w:rFonts w:cs="Times New Roman"/>
      <w:sz w:val="28"/>
      <w:szCs w:val="28"/>
      <w:lang w:val="uk-UA"/>
    </w:rPr>
  </w:style>
  <w:style w:type="character" w:styleId="Strong">
    <w:name w:val="Strong"/>
    <w:basedOn w:val="DefaultParagraphFont"/>
    <w:uiPriority w:val="99"/>
    <w:qFormat/>
    <w:rsid w:val="00B07903"/>
    <w:rPr>
      <w:rFonts w:cs="Times New Roman"/>
      <w:b/>
      <w:bCs/>
    </w:rPr>
  </w:style>
  <w:style w:type="paragraph" w:customStyle="1" w:styleId="rvps17">
    <w:name w:val="rvps17"/>
    <w:basedOn w:val="Normal"/>
    <w:uiPriority w:val="99"/>
    <w:rsid w:val="00B07903"/>
    <w:pPr>
      <w:spacing w:before="100" w:beforeAutospacing="1" w:after="100" w:afterAutospacing="1"/>
    </w:pPr>
  </w:style>
  <w:style w:type="character" w:customStyle="1" w:styleId="rvts78">
    <w:name w:val="rvts78"/>
    <w:basedOn w:val="DefaultParagraphFont"/>
    <w:uiPriority w:val="99"/>
    <w:rsid w:val="00B07903"/>
    <w:rPr>
      <w:rFonts w:cs="Times New Roman"/>
    </w:rPr>
  </w:style>
  <w:style w:type="paragraph" w:customStyle="1" w:styleId="rvps6">
    <w:name w:val="rvps6"/>
    <w:basedOn w:val="Normal"/>
    <w:uiPriority w:val="99"/>
    <w:rsid w:val="00B07903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B0790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7903"/>
    <w:rPr>
      <w:rFonts w:cs="Times New Roman"/>
      <w:i/>
      <w:iCs/>
    </w:rPr>
  </w:style>
  <w:style w:type="character" w:customStyle="1" w:styleId="rvts9">
    <w:name w:val="rvts9"/>
    <w:basedOn w:val="DefaultParagraphFont"/>
    <w:uiPriority w:val="99"/>
    <w:rsid w:val="00B07903"/>
    <w:rPr>
      <w:rFonts w:cs="Times New Roman"/>
    </w:rPr>
  </w:style>
  <w:style w:type="paragraph" w:customStyle="1" w:styleId="rvps12">
    <w:name w:val="rvps12"/>
    <w:basedOn w:val="Normal"/>
    <w:uiPriority w:val="99"/>
    <w:rsid w:val="00B07903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B07903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rsid w:val="00B07903"/>
    <w:rPr>
      <w:rFonts w:cs="Times New Roman"/>
      <w:vertAlign w:val="superscript"/>
    </w:rPr>
  </w:style>
  <w:style w:type="character" w:customStyle="1" w:styleId="2">
    <w:name w:val="Основний текст (2)_"/>
    <w:link w:val="20"/>
    <w:uiPriority w:val="99"/>
    <w:locked/>
    <w:rsid w:val="00B07903"/>
    <w:rPr>
      <w:sz w:val="23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B07903"/>
    <w:pPr>
      <w:shd w:val="clear" w:color="auto" w:fill="FFFFFF"/>
      <w:spacing w:before="240" w:after="1860" w:line="288" w:lineRule="exact"/>
      <w:jc w:val="center"/>
    </w:pPr>
    <w:rPr>
      <w:rFonts w:ascii="Calibri" w:eastAsia="Calibri" w:hAnsi="Calibri"/>
      <w:sz w:val="23"/>
      <w:szCs w:val="20"/>
      <w:shd w:val="clear" w:color="auto" w:fill="FFFFFF"/>
      <w:lang w:val="ru-RU" w:eastAsia="ko-KR"/>
    </w:rPr>
  </w:style>
  <w:style w:type="character" w:customStyle="1" w:styleId="21">
    <w:name w:val="Основний текст (2) + Не напівжирний"/>
    <w:uiPriority w:val="99"/>
    <w:rsid w:val="00B07903"/>
    <w:rPr>
      <w:b/>
      <w:sz w:val="23"/>
      <w:shd w:val="clear" w:color="auto" w:fill="FFFFFF"/>
    </w:rPr>
  </w:style>
  <w:style w:type="character" w:customStyle="1" w:styleId="120">
    <w:name w:val="Основний текст (12)_"/>
    <w:link w:val="121"/>
    <w:uiPriority w:val="99"/>
    <w:locked/>
    <w:rsid w:val="00B07903"/>
    <w:rPr>
      <w:rFonts w:ascii="Courier New" w:hAnsi="Courier New"/>
      <w:sz w:val="32"/>
      <w:shd w:val="clear" w:color="auto" w:fill="FFFFFF"/>
    </w:rPr>
  </w:style>
  <w:style w:type="paragraph" w:customStyle="1" w:styleId="121">
    <w:name w:val="Основний текст (12)"/>
    <w:basedOn w:val="Normal"/>
    <w:link w:val="120"/>
    <w:uiPriority w:val="99"/>
    <w:rsid w:val="00B07903"/>
    <w:pPr>
      <w:shd w:val="clear" w:color="auto" w:fill="FFFFFF"/>
      <w:spacing w:line="240" w:lineRule="atLeast"/>
    </w:pPr>
    <w:rPr>
      <w:rFonts w:ascii="Courier New" w:eastAsia="Calibri" w:hAnsi="Courier New"/>
      <w:sz w:val="32"/>
      <w:szCs w:val="20"/>
      <w:shd w:val="clear" w:color="auto" w:fill="FFFFFF"/>
      <w:lang w:val="ru-RU" w:eastAsia="ko-KR"/>
    </w:rPr>
  </w:style>
  <w:style w:type="character" w:customStyle="1" w:styleId="12TimesNewRoman">
    <w:name w:val="Основний текст (12) + Times New Roman"/>
    <w:aliases w:val="13,5 pt"/>
    <w:uiPriority w:val="99"/>
    <w:rsid w:val="00B07903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pt">
    <w:name w:val="Основний текст + Інтервал 1 pt"/>
    <w:uiPriority w:val="99"/>
    <w:rsid w:val="00B07903"/>
    <w:rPr>
      <w:spacing w:val="20"/>
      <w:sz w:val="23"/>
      <w:shd w:val="clear" w:color="auto" w:fill="FFFFFF"/>
      <w:lang w:val="en-US"/>
    </w:rPr>
  </w:style>
  <w:style w:type="character" w:customStyle="1" w:styleId="32">
    <w:name w:val="Основний текст (32)_"/>
    <w:link w:val="320"/>
    <w:uiPriority w:val="99"/>
    <w:locked/>
    <w:rsid w:val="00B07903"/>
    <w:rPr>
      <w:spacing w:val="20"/>
      <w:sz w:val="8"/>
      <w:shd w:val="clear" w:color="auto" w:fill="FFFFFF"/>
    </w:rPr>
  </w:style>
  <w:style w:type="paragraph" w:customStyle="1" w:styleId="320">
    <w:name w:val="Основний текст (32)"/>
    <w:basedOn w:val="Normal"/>
    <w:link w:val="32"/>
    <w:uiPriority w:val="99"/>
    <w:rsid w:val="00B07903"/>
    <w:pPr>
      <w:shd w:val="clear" w:color="auto" w:fill="FFFFFF"/>
      <w:spacing w:line="240" w:lineRule="atLeast"/>
    </w:pPr>
    <w:rPr>
      <w:rFonts w:ascii="Calibri" w:eastAsia="Calibri" w:hAnsi="Calibri"/>
      <w:spacing w:val="20"/>
      <w:sz w:val="8"/>
      <w:szCs w:val="20"/>
      <w:shd w:val="clear" w:color="auto" w:fill="FFFFFF"/>
      <w:lang w:val="ru-RU" w:eastAsia="ko-KR"/>
    </w:rPr>
  </w:style>
  <w:style w:type="character" w:customStyle="1" w:styleId="33">
    <w:name w:val="Основний текст (33)_"/>
    <w:link w:val="330"/>
    <w:uiPriority w:val="99"/>
    <w:locked/>
    <w:rsid w:val="00B07903"/>
    <w:rPr>
      <w:sz w:val="23"/>
      <w:shd w:val="clear" w:color="auto" w:fill="FFFFFF"/>
    </w:rPr>
  </w:style>
  <w:style w:type="paragraph" w:customStyle="1" w:styleId="330">
    <w:name w:val="Основний текст (33)"/>
    <w:basedOn w:val="Normal"/>
    <w:link w:val="33"/>
    <w:uiPriority w:val="99"/>
    <w:rsid w:val="00B0790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 w:val="ru-RU" w:eastAsia="ko-KR"/>
    </w:rPr>
  </w:style>
  <w:style w:type="character" w:customStyle="1" w:styleId="64">
    <w:name w:val="Основний текст (64)"/>
    <w:uiPriority w:val="99"/>
    <w:rsid w:val="00B07903"/>
    <w:rPr>
      <w:rFonts w:ascii="Times New Roman" w:hAnsi="Times New Roman"/>
      <w:sz w:val="27"/>
      <w:u w:val="single"/>
    </w:rPr>
  </w:style>
  <w:style w:type="character" w:customStyle="1" w:styleId="15">
    <w:name w:val="Основний текст (15)_"/>
    <w:link w:val="150"/>
    <w:uiPriority w:val="99"/>
    <w:locked/>
    <w:rsid w:val="00B07903"/>
    <w:rPr>
      <w:rFonts w:ascii="Franklin Gothic Medium" w:hAnsi="Franklin Gothic Medium"/>
      <w:sz w:val="18"/>
      <w:shd w:val="clear" w:color="auto" w:fill="FFFFFF"/>
    </w:rPr>
  </w:style>
  <w:style w:type="paragraph" w:customStyle="1" w:styleId="150">
    <w:name w:val="Основний текст (15)"/>
    <w:basedOn w:val="Normal"/>
    <w:link w:val="15"/>
    <w:uiPriority w:val="99"/>
    <w:rsid w:val="00B07903"/>
    <w:pPr>
      <w:shd w:val="clear" w:color="auto" w:fill="FFFFFF"/>
      <w:spacing w:line="240" w:lineRule="atLeast"/>
    </w:pPr>
    <w:rPr>
      <w:rFonts w:ascii="Franklin Gothic Medium" w:eastAsia="Calibri" w:hAnsi="Franklin Gothic Medium"/>
      <w:sz w:val="18"/>
      <w:szCs w:val="20"/>
      <w:shd w:val="clear" w:color="auto" w:fill="FFFFFF"/>
      <w:lang w:val="ru-RU" w:eastAsia="ko-KR"/>
    </w:rPr>
  </w:style>
  <w:style w:type="character" w:customStyle="1" w:styleId="15TimesNewRoman">
    <w:name w:val="Основний текст (15) + Times New Roman"/>
    <w:aliases w:val="12 pt,Інтервал 0 pt"/>
    <w:uiPriority w:val="99"/>
    <w:rsid w:val="00B07903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15TimesNewRoman1">
    <w:name w:val="Основний текст (15) + Times New Roman1"/>
    <w:aliases w:val="12 pt1,Інтервал 1 pt"/>
    <w:uiPriority w:val="99"/>
    <w:rsid w:val="00B07903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uiPriority w:val="99"/>
    <w:locked/>
    <w:rsid w:val="00B07903"/>
    <w:rPr>
      <w:rFonts w:ascii="Tahoma" w:hAnsi="Tahoma"/>
      <w:spacing w:val="10"/>
      <w:shd w:val="clear" w:color="auto" w:fill="FFFFFF"/>
    </w:rPr>
  </w:style>
  <w:style w:type="paragraph" w:customStyle="1" w:styleId="180">
    <w:name w:val="Основний текст (18)"/>
    <w:basedOn w:val="Normal"/>
    <w:link w:val="18"/>
    <w:uiPriority w:val="99"/>
    <w:rsid w:val="00B07903"/>
    <w:pPr>
      <w:shd w:val="clear" w:color="auto" w:fill="FFFFFF"/>
      <w:spacing w:line="240" w:lineRule="atLeast"/>
    </w:pPr>
    <w:rPr>
      <w:rFonts w:ascii="Tahoma" w:eastAsia="Calibri" w:hAnsi="Tahoma"/>
      <w:spacing w:val="10"/>
      <w:sz w:val="20"/>
      <w:szCs w:val="20"/>
      <w:shd w:val="clear" w:color="auto" w:fill="FFFFFF"/>
      <w:lang w:val="ru-RU" w:eastAsia="ko-KR"/>
    </w:rPr>
  </w:style>
  <w:style w:type="paragraph" w:customStyle="1" w:styleId="a2">
    <w:name w:val="Таблиця"/>
    <w:basedOn w:val="Normal"/>
    <w:link w:val="a3"/>
    <w:uiPriority w:val="99"/>
    <w:rsid w:val="00B07903"/>
    <w:pPr>
      <w:jc w:val="both"/>
    </w:pPr>
    <w:rPr>
      <w:rFonts w:eastAsia="Calibri"/>
      <w:szCs w:val="20"/>
      <w:lang w:val="ru-RU" w:eastAsia="ko-KR"/>
    </w:rPr>
  </w:style>
  <w:style w:type="character" w:customStyle="1" w:styleId="a3">
    <w:name w:val="Таблиця Знак"/>
    <w:link w:val="a2"/>
    <w:uiPriority w:val="99"/>
    <w:locked/>
    <w:rsid w:val="00B07903"/>
    <w:rPr>
      <w:rFonts w:ascii="Times New Roman" w:hAnsi="Times New Roman"/>
      <w:sz w:val="24"/>
    </w:rPr>
  </w:style>
  <w:style w:type="paragraph" w:customStyle="1" w:styleId="22">
    <w:name w:val="Îñíîâíîé òåêñò 2"/>
    <w:basedOn w:val="Normal"/>
    <w:uiPriority w:val="99"/>
    <w:rsid w:val="00B07903"/>
    <w:pPr>
      <w:ind w:firstLine="709"/>
      <w:jc w:val="both"/>
    </w:pPr>
    <w:rPr>
      <w:rFonts w:ascii="1251 Times" w:hAnsi="1251 Times"/>
      <w:sz w:val="28"/>
      <w:szCs w:val="20"/>
    </w:rPr>
  </w:style>
  <w:style w:type="paragraph" w:customStyle="1" w:styleId="13">
    <w:name w:val="Без интервала1"/>
    <w:uiPriority w:val="99"/>
    <w:rsid w:val="00B07903"/>
    <w:rPr>
      <w:rFonts w:eastAsia="Times New Roman"/>
      <w:lang w:eastAsia="en-US"/>
    </w:rPr>
  </w:style>
  <w:style w:type="character" w:customStyle="1" w:styleId="rvts0">
    <w:name w:val="rvts0"/>
    <w:uiPriority w:val="99"/>
    <w:rsid w:val="00B07903"/>
  </w:style>
  <w:style w:type="paragraph" w:styleId="ListParagraph">
    <w:name w:val="List Paragraph"/>
    <w:basedOn w:val="Normal"/>
    <w:uiPriority w:val="99"/>
    <w:qFormat/>
    <w:rsid w:val="00B07903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079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07903"/>
    <w:pPr>
      <w:ind w:firstLine="709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790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7903"/>
    <w:pPr>
      <w:overflowPunct w:val="0"/>
      <w:autoSpaceDE w:val="0"/>
      <w:autoSpaceDN w:val="0"/>
      <w:adjustRightInd w:val="0"/>
      <w:spacing w:line="264" w:lineRule="auto"/>
      <w:ind w:firstLine="567"/>
      <w:textAlignment w:val="baseline"/>
    </w:pPr>
    <w:rPr>
      <w:b/>
      <w:bCs/>
      <w:color w:val="00000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7903"/>
    <w:rPr>
      <w:b/>
      <w:bCs/>
      <w:color w:val="00000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07903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7903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rvts46">
    <w:name w:val="rvts46"/>
    <w:basedOn w:val="DefaultParagraphFont"/>
    <w:uiPriority w:val="99"/>
    <w:rsid w:val="00B07903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B0790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B0790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B0790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B0790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B0790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B0790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cs1-format">
    <w:name w:val="cs1-format"/>
    <w:basedOn w:val="DefaultParagraphFont"/>
    <w:uiPriority w:val="99"/>
    <w:rsid w:val="00B07903"/>
    <w:rPr>
      <w:rFonts w:cs="Times New Roman"/>
    </w:rPr>
  </w:style>
  <w:style w:type="character" w:customStyle="1" w:styleId="reference-accessdate">
    <w:name w:val="reference-accessdate"/>
    <w:basedOn w:val="DefaultParagraphFont"/>
    <w:uiPriority w:val="99"/>
    <w:rsid w:val="00B07903"/>
    <w:rPr>
      <w:rFonts w:cs="Times New Roman"/>
    </w:rPr>
  </w:style>
  <w:style w:type="character" w:customStyle="1" w:styleId="nowrap">
    <w:name w:val="nowrap"/>
    <w:basedOn w:val="DefaultParagraphFont"/>
    <w:uiPriority w:val="99"/>
    <w:rsid w:val="00B07903"/>
    <w:rPr>
      <w:rFonts w:cs="Times New Roman"/>
    </w:rPr>
  </w:style>
  <w:style w:type="paragraph" w:customStyle="1" w:styleId="a4">
    <w:name w:val="Нормальный"/>
    <w:uiPriority w:val="99"/>
    <w:rsid w:val="00B0790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uk-UA"/>
    </w:rPr>
  </w:style>
  <w:style w:type="paragraph" w:customStyle="1" w:styleId="Pa20">
    <w:name w:val="Pa20"/>
    <w:basedOn w:val="Default"/>
    <w:next w:val="Default"/>
    <w:uiPriority w:val="99"/>
    <w:rsid w:val="00B07903"/>
    <w:pPr>
      <w:spacing w:line="221" w:lineRule="atLeast"/>
    </w:pPr>
    <w:rPr>
      <w:rFonts w:ascii="Arimo" w:hAnsi="Arimo"/>
      <w:color w:val="auto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07903"/>
    <w:rPr>
      <w:rFonts w:ascii="Arial" w:hAnsi="Arial" w:cs="Arial"/>
      <w:b/>
      <w:bCs/>
      <w:sz w:val="42"/>
      <w:szCs w:val="42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07903"/>
    <w:pPr>
      <w:widowControl w:val="0"/>
      <w:shd w:val="clear" w:color="auto" w:fill="FFFFFF"/>
      <w:spacing w:after="280" w:line="298" w:lineRule="auto"/>
      <w:outlineLvl w:val="2"/>
    </w:pPr>
    <w:rPr>
      <w:rFonts w:ascii="Arial" w:eastAsia="Calibri" w:hAnsi="Arial" w:cs="Arial"/>
      <w:b/>
      <w:bCs/>
      <w:sz w:val="42"/>
      <w:szCs w:val="4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B07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0790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B07903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B07903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07903"/>
    <w:rPr>
      <w:rFonts w:cs="Times New Roman"/>
    </w:rPr>
  </w:style>
  <w:style w:type="character" w:styleId="HTMLCite">
    <w:name w:val="HTML Cite"/>
    <w:basedOn w:val="DefaultParagraphFont"/>
    <w:uiPriority w:val="99"/>
    <w:rsid w:val="00B07903"/>
    <w:rPr>
      <w:rFonts w:cs="Times New Roman"/>
      <w:i/>
      <w:iCs/>
    </w:rPr>
  </w:style>
  <w:style w:type="character" w:customStyle="1" w:styleId="cs1-lock-free">
    <w:name w:val="cs1-lock-free"/>
    <w:basedOn w:val="DefaultParagraphFont"/>
    <w:uiPriority w:val="99"/>
    <w:rsid w:val="00B07903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B07903"/>
    <w:rPr>
      <w:rFonts w:cs="Times New Roman"/>
    </w:rPr>
  </w:style>
  <w:style w:type="character" w:customStyle="1" w:styleId="spelle">
    <w:name w:val="spelle"/>
    <w:basedOn w:val="DefaultParagraphFont"/>
    <w:uiPriority w:val="99"/>
    <w:rsid w:val="00B07903"/>
    <w:rPr>
      <w:rFonts w:cs="Times New Roman"/>
    </w:rPr>
  </w:style>
  <w:style w:type="character" w:customStyle="1" w:styleId="grame">
    <w:name w:val="grame"/>
    <w:basedOn w:val="DefaultParagraphFont"/>
    <w:uiPriority w:val="99"/>
    <w:rsid w:val="00B07903"/>
    <w:rPr>
      <w:rFonts w:cs="Times New Roman"/>
    </w:rPr>
  </w:style>
  <w:style w:type="character" w:customStyle="1" w:styleId="dat0">
    <w:name w:val="dat0"/>
    <w:basedOn w:val="DefaultParagraphFont"/>
    <w:uiPriority w:val="99"/>
    <w:rsid w:val="00B07903"/>
    <w:rPr>
      <w:rFonts w:cs="Times New Roman"/>
    </w:rPr>
  </w:style>
  <w:style w:type="character" w:customStyle="1" w:styleId="valid">
    <w:name w:val="valid"/>
    <w:basedOn w:val="DefaultParagraphFont"/>
    <w:uiPriority w:val="99"/>
    <w:rsid w:val="00B07903"/>
    <w:rPr>
      <w:rFonts w:cs="Times New Roman"/>
    </w:rPr>
  </w:style>
  <w:style w:type="character" w:customStyle="1" w:styleId="d-none">
    <w:name w:val="d-none"/>
    <w:basedOn w:val="DefaultParagraphFont"/>
    <w:uiPriority w:val="99"/>
    <w:rsid w:val="00B07903"/>
    <w:rPr>
      <w:rFonts w:cs="Times New Roman"/>
    </w:rPr>
  </w:style>
  <w:style w:type="character" w:customStyle="1" w:styleId="FontStyle30">
    <w:name w:val="Font Style30"/>
    <w:uiPriority w:val="99"/>
    <w:rsid w:val="00B07903"/>
    <w:rPr>
      <w:rFonts w:ascii="Times New Roman" w:hAnsi="Times New Roman"/>
      <w:b/>
      <w:sz w:val="18"/>
    </w:rPr>
  </w:style>
  <w:style w:type="character" w:customStyle="1" w:styleId="FontStyle32">
    <w:name w:val="Font Style32"/>
    <w:uiPriority w:val="99"/>
    <w:rsid w:val="00B07903"/>
    <w:rPr>
      <w:rFonts w:ascii="Times New Roman" w:hAnsi="Times New Roman"/>
      <w:sz w:val="18"/>
    </w:rPr>
  </w:style>
  <w:style w:type="character" w:customStyle="1" w:styleId="FontStyle40">
    <w:name w:val="Font Style40"/>
    <w:uiPriority w:val="99"/>
    <w:rsid w:val="00B07903"/>
    <w:rPr>
      <w:rFonts w:ascii="Times New Roman" w:hAnsi="Times New Roman"/>
      <w:b/>
      <w:sz w:val="18"/>
    </w:rPr>
  </w:style>
  <w:style w:type="paragraph" w:customStyle="1" w:styleId="a5">
    <w:name w:val="Вміст таблиці"/>
    <w:basedOn w:val="Normal"/>
    <w:uiPriority w:val="99"/>
    <w:rsid w:val="00B07903"/>
    <w:pPr>
      <w:suppressLineNumbers/>
      <w:suppressAutoHyphens/>
      <w:overflowPunct w:val="0"/>
      <w:spacing w:after="200" w:line="276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14">
    <w:name w:val="Основний текст1"/>
    <w:basedOn w:val="Normal"/>
    <w:uiPriority w:val="99"/>
    <w:rsid w:val="00B07903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character" w:customStyle="1" w:styleId="15TimesNewRoman3">
    <w:name w:val="Основний текст (15) + Times New Roman3"/>
    <w:aliases w:val="12 pt3,Інтервал 1 pt1"/>
    <w:uiPriority w:val="99"/>
    <w:rsid w:val="00B07903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5TimesNewRoman2">
    <w:name w:val="Основний текст (15) + Times New Roman2"/>
    <w:aliases w:val="12 pt2,Інтервал 0 pt1"/>
    <w:uiPriority w:val="99"/>
    <w:rsid w:val="00B07903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6">
    <w:name w:val="Незакрита згадка"/>
    <w:uiPriority w:val="99"/>
    <w:semiHidden/>
    <w:rsid w:val="00B07903"/>
    <w:rPr>
      <w:color w:val="605E5C"/>
      <w:shd w:val="clear" w:color="auto" w:fill="E1DFDD"/>
    </w:rPr>
  </w:style>
  <w:style w:type="paragraph" w:customStyle="1" w:styleId="docdata">
    <w:name w:val="docdata"/>
    <w:aliases w:val="docy,v5,2965,baiaagaaboqcaaadkgcaaawgb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07903"/>
    <w:pPr>
      <w:spacing w:before="100" w:beforeAutospacing="1" w:after="100" w:afterAutospacing="1"/>
    </w:pPr>
    <w:rPr>
      <w:lang w:eastAsia="uk-UA"/>
    </w:rPr>
  </w:style>
  <w:style w:type="table" w:customStyle="1" w:styleId="TableNormal1">
    <w:name w:val="Table Normal1"/>
    <w:uiPriority w:val="99"/>
    <w:semiHidden/>
    <w:rsid w:val="00B0790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B07903"/>
    <w:pPr>
      <w:widowControl w:val="0"/>
      <w:autoSpaceDE w:val="0"/>
      <w:autoSpaceDN w:val="0"/>
      <w:ind w:left="10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Normal"/>
    <w:uiPriority w:val="99"/>
    <w:rsid w:val="00B0790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1">
    <w:name w:val="Абзац списка3"/>
    <w:basedOn w:val="Normal"/>
    <w:uiPriority w:val="99"/>
    <w:rsid w:val="00B0790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Other">
    <w:name w:val="Other_"/>
    <w:link w:val="Other0"/>
    <w:uiPriority w:val="99"/>
    <w:locked/>
    <w:rsid w:val="00B07903"/>
    <w:rPr>
      <w:sz w:val="19"/>
    </w:rPr>
  </w:style>
  <w:style w:type="paragraph" w:customStyle="1" w:styleId="Other0">
    <w:name w:val="Other"/>
    <w:basedOn w:val="Normal"/>
    <w:link w:val="Other"/>
    <w:uiPriority w:val="99"/>
    <w:rsid w:val="00B07903"/>
    <w:pPr>
      <w:widowControl w:val="0"/>
      <w:spacing w:line="312" w:lineRule="auto"/>
      <w:ind w:firstLine="400"/>
    </w:pPr>
    <w:rPr>
      <w:rFonts w:ascii="Calibri" w:eastAsia="Calibri" w:hAnsi="Calibri"/>
      <w:sz w:val="19"/>
      <w:szCs w:val="20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12</Pages>
  <Words>3231</Words>
  <Characters>18422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2022-02-12T16:55:00Z</dcterms:created>
  <dcterms:modified xsi:type="dcterms:W3CDTF">2022-12-06T18:00:00Z</dcterms:modified>
</cp:coreProperties>
</file>